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408C" w14:textId="77777777" w:rsidR="00D87A0D" w:rsidRDefault="00D87A0D">
      <w:pPr>
        <w:widowControl w:val="0"/>
        <w:pBdr>
          <w:top w:val="nil"/>
          <w:left w:val="nil"/>
          <w:bottom w:val="nil"/>
          <w:right w:val="nil"/>
          <w:between w:val="nil"/>
        </w:pBdr>
        <w:spacing w:line="276" w:lineRule="auto"/>
        <w:rPr>
          <w:rFonts w:ascii="Arial" w:eastAsia="Arial" w:hAnsi="Arial" w:cs="Arial"/>
          <w:color w:val="000000"/>
        </w:rPr>
      </w:pPr>
    </w:p>
    <w:tbl>
      <w:tblPr>
        <w:tblStyle w:val="4"/>
        <w:tblW w:w="9072" w:type="dxa"/>
        <w:tblBorders>
          <w:top w:val="single" w:sz="4" w:space="0" w:color="000000"/>
          <w:left w:val="nil"/>
          <w:bottom w:val="single" w:sz="4" w:space="0" w:color="000000"/>
          <w:right w:val="nil"/>
          <w:insideH w:val="nil"/>
          <w:insideV w:val="nil"/>
        </w:tblBorders>
        <w:shd w:val="clear" w:color="auto" w:fill="DBE5F1" w:themeFill="accent1" w:themeFillTint="33"/>
        <w:tblLayout w:type="fixed"/>
        <w:tblLook w:val="0400" w:firstRow="0" w:lastRow="0" w:firstColumn="0" w:lastColumn="0" w:noHBand="0" w:noVBand="1"/>
      </w:tblPr>
      <w:tblGrid>
        <w:gridCol w:w="9072"/>
      </w:tblGrid>
      <w:tr w:rsidR="00471649" w14:paraId="438DE3AC" w14:textId="77777777" w:rsidTr="00732FE7">
        <w:tc>
          <w:tcPr>
            <w:tcW w:w="9072" w:type="dxa"/>
            <w:tcBorders>
              <w:top w:val="single" w:sz="12" w:space="0" w:color="000000"/>
              <w:bottom w:val="single" w:sz="12" w:space="0" w:color="000000"/>
            </w:tcBorders>
            <w:shd w:val="clear" w:color="auto" w:fill="DBE5F1" w:themeFill="accent1" w:themeFillTint="33"/>
          </w:tcPr>
          <w:p w14:paraId="7C000BD3" w14:textId="77777777" w:rsidR="00471649" w:rsidRPr="002454FD" w:rsidRDefault="00471649" w:rsidP="00732FE7">
            <w:pPr>
              <w:jc w:val="center"/>
              <w:rPr>
                <w:rFonts w:asciiTheme="majorHAnsi" w:hAnsiTheme="majorHAnsi"/>
                <w:b/>
                <w:sz w:val="32"/>
                <w:lang w:val="en-US"/>
              </w:rPr>
            </w:pPr>
            <w:r>
              <w:rPr>
                <w:rFonts w:asciiTheme="majorHAnsi" w:hAnsiTheme="majorHAnsi"/>
                <w:b/>
                <w:sz w:val="32"/>
                <w:lang w:val="en-US"/>
              </w:rPr>
              <w:t>SYNERGY</w:t>
            </w:r>
          </w:p>
          <w:p w14:paraId="28D29BFC" w14:textId="77777777" w:rsidR="00471649" w:rsidRPr="002454FD" w:rsidRDefault="00471649" w:rsidP="00732FE7">
            <w:pPr>
              <w:jc w:val="center"/>
              <w:rPr>
                <w:rFonts w:asciiTheme="majorHAnsi" w:hAnsiTheme="majorHAnsi"/>
                <w:b/>
                <w:sz w:val="32"/>
                <w:lang w:val="en-US"/>
              </w:rPr>
            </w:pPr>
            <w:r>
              <w:rPr>
                <w:rFonts w:asciiTheme="majorHAnsi" w:hAnsiTheme="majorHAnsi"/>
                <w:b/>
                <w:sz w:val="32"/>
                <w:lang w:val="en-US"/>
              </w:rPr>
              <w:t>Jurnal Ilmiah Multidisiplin</w:t>
            </w:r>
          </w:p>
          <w:p w14:paraId="32B6CF9D" w14:textId="77777777" w:rsidR="00471649" w:rsidRPr="002C54E8" w:rsidRDefault="00471649" w:rsidP="00732FE7">
            <w:pPr>
              <w:jc w:val="center"/>
              <w:rPr>
                <w:rFonts w:asciiTheme="majorHAnsi" w:hAnsiTheme="majorHAnsi"/>
              </w:rPr>
            </w:pPr>
            <w:r w:rsidRPr="002C54E8">
              <w:rPr>
                <w:rFonts w:asciiTheme="majorHAnsi" w:hAnsiTheme="majorHAnsi"/>
              </w:rPr>
              <w:t>https://e-journal.naureendigition.com/index.php/sjim</w:t>
            </w:r>
          </w:p>
          <w:p w14:paraId="2A47954D" w14:textId="7FAC1C71" w:rsidR="00471649" w:rsidRDefault="00471649" w:rsidP="00732FE7">
            <w:pPr>
              <w:jc w:val="center"/>
              <w:rPr>
                <w:rFonts w:asciiTheme="majorHAnsi" w:hAnsiTheme="majorHAnsi"/>
                <w:lang w:val="en-ID"/>
              </w:rPr>
            </w:pPr>
            <w:r w:rsidRPr="00C54E2C">
              <w:rPr>
                <w:rFonts w:asciiTheme="majorHAnsi" w:hAnsiTheme="majorHAnsi"/>
                <w:lang w:val="en-ID"/>
              </w:rPr>
              <w:t>Vol.</w:t>
            </w:r>
            <w:r>
              <w:rPr>
                <w:rFonts w:asciiTheme="majorHAnsi" w:hAnsiTheme="majorHAnsi"/>
                <w:lang w:val="en-ID"/>
              </w:rPr>
              <w:t xml:space="preserve">1 </w:t>
            </w:r>
            <w:r w:rsidRPr="00C54E2C">
              <w:rPr>
                <w:rFonts w:asciiTheme="majorHAnsi" w:hAnsiTheme="majorHAnsi"/>
                <w:lang w:val="en-ID"/>
              </w:rPr>
              <w:t>No</w:t>
            </w:r>
            <w:r>
              <w:rPr>
                <w:rFonts w:asciiTheme="majorHAnsi" w:hAnsiTheme="majorHAnsi"/>
                <w:lang w:val="en-ID"/>
              </w:rPr>
              <w:t xml:space="preserve"> 3</w:t>
            </w:r>
            <w:r w:rsidRPr="00C54E2C">
              <w:rPr>
                <w:rFonts w:asciiTheme="majorHAnsi" w:hAnsiTheme="majorHAnsi"/>
                <w:lang w:val="en-ID"/>
              </w:rPr>
              <w:t>, 202</w:t>
            </w:r>
            <w:r>
              <w:rPr>
                <w:rFonts w:asciiTheme="majorHAnsi" w:hAnsiTheme="majorHAnsi"/>
                <w:lang w:val="en-US"/>
              </w:rPr>
              <w:t>3</w:t>
            </w:r>
            <w:r w:rsidRPr="00C54E2C">
              <w:rPr>
                <w:rFonts w:asciiTheme="majorHAnsi" w:hAnsiTheme="majorHAnsi"/>
                <w:lang w:val="en-ID"/>
              </w:rPr>
              <w:t>, Hal.</w:t>
            </w:r>
            <w:r>
              <w:rPr>
                <w:rFonts w:asciiTheme="majorHAnsi" w:hAnsiTheme="majorHAnsi"/>
                <w:lang w:val="en-ID"/>
              </w:rPr>
              <w:t xml:space="preserve"> </w:t>
            </w:r>
            <w:r w:rsidR="007C6563">
              <w:rPr>
                <w:rFonts w:asciiTheme="majorHAnsi" w:hAnsiTheme="majorHAnsi"/>
                <w:lang w:val="en-ID"/>
              </w:rPr>
              <w:t>179</w:t>
            </w:r>
            <w:r>
              <w:rPr>
                <w:rFonts w:asciiTheme="majorHAnsi" w:hAnsiTheme="majorHAnsi"/>
                <w:lang w:val="en-ID"/>
              </w:rPr>
              <w:t xml:space="preserve">  - 1</w:t>
            </w:r>
            <w:r w:rsidR="00D76B2E">
              <w:rPr>
                <w:rFonts w:asciiTheme="majorHAnsi" w:hAnsiTheme="majorHAnsi"/>
                <w:lang w:val="en-ID"/>
              </w:rPr>
              <w:t>83</w:t>
            </w:r>
          </w:p>
          <w:p w14:paraId="17376798" w14:textId="77777777" w:rsidR="00471649" w:rsidRDefault="00471649" w:rsidP="00732FE7">
            <w:pPr>
              <w:spacing w:after="120"/>
              <w:jc w:val="center"/>
            </w:pPr>
            <w:r>
              <w:rPr>
                <w:rFonts w:asciiTheme="majorHAnsi" w:hAnsiTheme="majorHAnsi"/>
              </w:rPr>
              <w:t xml:space="preserve">ISSN </w:t>
            </w:r>
            <w:r w:rsidRPr="00945925">
              <w:rPr>
                <w:rFonts w:asciiTheme="majorHAnsi" w:hAnsiTheme="majorHAnsi"/>
              </w:rPr>
              <w:t>3025-7514</w:t>
            </w:r>
          </w:p>
        </w:tc>
      </w:tr>
    </w:tbl>
    <w:p w14:paraId="25F508EF" w14:textId="77777777" w:rsidR="00D87A0D" w:rsidRDefault="00D87A0D"/>
    <w:p w14:paraId="6BF8289B" w14:textId="2A3ABEFE" w:rsidR="007C6563" w:rsidRPr="007C6563" w:rsidRDefault="007C6563" w:rsidP="006D719F">
      <w:pPr>
        <w:pBdr>
          <w:top w:val="nil"/>
          <w:left w:val="nil"/>
          <w:bottom w:val="nil"/>
          <w:right w:val="nil"/>
          <w:between w:val="nil"/>
        </w:pBdr>
        <w:spacing w:after="120" w:line="240" w:lineRule="auto"/>
        <w:jc w:val="center"/>
        <w:rPr>
          <w:rFonts w:ascii="Cambria" w:eastAsia="Cambria" w:hAnsi="Cambria" w:cs="Cambria"/>
          <w:b/>
          <w:sz w:val="28"/>
          <w:szCs w:val="28"/>
        </w:rPr>
      </w:pPr>
      <w:bookmarkStart w:id="0" w:name="_gjdgxs" w:colFirst="0" w:colLast="0"/>
      <w:bookmarkEnd w:id="0"/>
      <w:r w:rsidRPr="007C6563">
        <w:rPr>
          <w:rFonts w:ascii="Cambria" w:eastAsia="Cambria" w:hAnsi="Cambria" w:cs="Cambria"/>
          <w:b/>
          <w:sz w:val="28"/>
          <w:szCs w:val="28"/>
        </w:rPr>
        <w:t>PENANGGULANGAN PERMASALAHAN DAGANG INTERNASIONAL ANTARA PENJUAL DAN PEMBELI DALAM TRANSAKSI E-COMMERCE</w:t>
      </w:r>
    </w:p>
    <w:p w14:paraId="5F32586F" w14:textId="0E17467D" w:rsidR="00F94E4C" w:rsidRDefault="00742BAE" w:rsidP="001C2CDC">
      <w:pPr>
        <w:pStyle w:val="Heading1"/>
        <w:rPr>
          <w:lang w:val="en-US"/>
        </w:rPr>
      </w:pPr>
      <w:bookmarkStart w:id="1" w:name="_Hlk151623569"/>
      <w:r w:rsidRPr="00742BAE">
        <w:rPr>
          <w:rFonts w:ascii="Cambria" w:hAnsi="Cambria" w:cstheme="majorHAnsi"/>
          <w:szCs w:val="24"/>
        </w:rPr>
        <w:t>Rizki Firmansyah</w:t>
      </w:r>
      <w:r w:rsidR="001C2CDC">
        <w:rPr>
          <w:vertAlign w:val="superscript"/>
          <w:lang w:val="en-US"/>
        </w:rPr>
        <w:t>1</w:t>
      </w:r>
      <w:r w:rsidR="001C2CDC" w:rsidRPr="001C2CDC">
        <w:rPr>
          <w:lang w:val="en-US"/>
        </w:rPr>
        <w:t xml:space="preserve">, </w:t>
      </w:r>
      <w:r w:rsidRPr="00742BAE">
        <w:rPr>
          <w:rFonts w:ascii="Cambria" w:hAnsi="Cambria" w:cstheme="majorHAnsi"/>
          <w:szCs w:val="24"/>
        </w:rPr>
        <w:t>Danar Noor Vinandha</w:t>
      </w:r>
      <w:r w:rsidR="001C2CDC">
        <w:rPr>
          <w:vertAlign w:val="superscript"/>
          <w:lang w:val="en-US"/>
        </w:rPr>
        <w:t>2</w:t>
      </w:r>
      <w:r w:rsidR="001C2CDC" w:rsidRPr="001C2CDC">
        <w:rPr>
          <w:lang w:val="en-US"/>
        </w:rPr>
        <w:t xml:space="preserve">, </w:t>
      </w:r>
      <w:r w:rsidRPr="00742BAE">
        <w:rPr>
          <w:rFonts w:ascii="Cambria" w:hAnsi="Cambria" w:cstheme="majorHAnsi"/>
          <w:szCs w:val="24"/>
        </w:rPr>
        <w:t>Dito Marselino</w:t>
      </w:r>
      <w:r w:rsidR="001C2CDC">
        <w:rPr>
          <w:vertAlign w:val="superscript"/>
          <w:lang w:val="en-US"/>
        </w:rPr>
        <w:t>3</w:t>
      </w:r>
      <w:r w:rsidR="001C2CDC" w:rsidRPr="001C2CDC">
        <w:rPr>
          <w:lang w:val="en-US"/>
        </w:rPr>
        <w:t xml:space="preserve"> </w:t>
      </w:r>
      <w:bookmarkEnd w:id="1"/>
    </w:p>
    <w:p w14:paraId="23FBBE87" w14:textId="77777777" w:rsidR="001C2CDC" w:rsidRDefault="001C2CDC" w:rsidP="001C2CDC">
      <w:pPr>
        <w:pStyle w:val="Heading1"/>
        <w:rPr>
          <w:lang w:val="en-US"/>
        </w:rPr>
      </w:pPr>
    </w:p>
    <w:p w14:paraId="30A5EAF6" w14:textId="0677260F" w:rsidR="00D87A0D" w:rsidRDefault="00584BDC" w:rsidP="001C2CDC">
      <w:pPr>
        <w:pStyle w:val="Heading1"/>
        <w:rPr>
          <w:lang w:val="en-US"/>
        </w:rPr>
      </w:pPr>
      <w:r>
        <w:rPr>
          <w:lang w:val="en-US"/>
        </w:rPr>
        <w:t>Fakultas Ilmu Sosial dan Ilmu Politik, Prodi Hukum</w:t>
      </w:r>
      <w:r w:rsidR="00773C73">
        <w:t xml:space="preserve">, Universitas </w:t>
      </w:r>
      <w:r>
        <w:rPr>
          <w:lang w:val="en-US"/>
        </w:rPr>
        <w:t>Tidar</w:t>
      </w:r>
    </w:p>
    <w:p w14:paraId="374198DA" w14:textId="77777777" w:rsidR="001C2CDC" w:rsidRPr="001C2CDC" w:rsidRDefault="001C2CDC" w:rsidP="001C2CDC">
      <w:pPr>
        <w:rPr>
          <w:lang w:val="en-US"/>
        </w:rPr>
      </w:pPr>
    </w:p>
    <w:tbl>
      <w:tblPr>
        <w:tblStyle w:val="a0"/>
        <w:tblW w:w="8911" w:type="dxa"/>
        <w:tblBorders>
          <w:top w:val="nil"/>
          <w:left w:val="nil"/>
          <w:bottom w:val="nil"/>
          <w:right w:val="nil"/>
          <w:insideH w:val="nil"/>
          <w:insideV w:val="nil"/>
        </w:tblBorders>
        <w:tblLayout w:type="fixed"/>
        <w:tblLook w:val="0400" w:firstRow="0" w:lastRow="0" w:firstColumn="0" w:lastColumn="0" w:noHBand="0" w:noVBand="1"/>
      </w:tblPr>
      <w:tblGrid>
        <w:gridCol w:w="1232"/>
        <w:gridCol w:w="280"/>
        <w:gridCol w:w="7399"/>
      </w:tblGrid>
      <w:tr w:rsidR="00D87A0D" w14:paraId="2E61F2A2" w14:textId="77777777">
        <w:tc>
          <w:tcPr>
            <w:tcW w:w="1232" w:type="dxa"/>
            <w:tcBorders>
              <w:right w:val="single" w:sz="4" w:space="0" w:color="000000"/>
            </w:tcBorders>
          </w:tcPr>
          <w:p w14:paraId="6833BD66" w14:textId="77777777" w:rsidR="00D87A0D" w:rsidRDefault="00773C73">
            <w:pPr>
              <w:pStyle w:val="Title"/>
            </w:pPr>
            <w:r>
              <w:t>Abstrak</w:t>
            </w:r>
          </w:p>
        </w:tc>
        <w:tc>
          <w:tcPr>
            <w:tcW w:w="7679" w:type="dxa"/>
            <w:gridSpan w:val="2"/>
            <w:tcBorders>
              <w:left w:val="single" w:sz="4" w:space="0" w:color="000000"/>
            </w:tcBorders>
          </w:tcPr>
          <w:p w14:paraId="2341CCFE" w14:textId="261AA24E" w:rsidR="00D87A0D" w:rsidRPr="00F32D05" w:rsidRDefault="00EF1C05" w:rsidP="00A61DC9">
            <w:pPr>
              <w:jc w:val="both"/>
              <w:rPr>
                <w:rFonts w:asciiTheme="majorHAnsi" w:eastAsia="Cambria" w:hAnsiTheme="majorHAnsi" w:cs="Cambria"/>
                <w:sz w:val="20"/>
                <w:szCs w:val="20"/>
              </w:rPr>
            </w:pPr>
            <w:r w:rsidRPr="005F3E97">
              <w:rPr>
                <w:rFonts w:ascii="Cambria" w:hAnsi="Cambria" w:cstheme="majorHAnsi"/>
                <w:sz w:val="20"/>
                <w:szCs w:val="20"/>
              </w:rPr>
              <w:t>Tujuan pengkajian ini adalah untuk mempertimbangkan upaya hukum dan pilihan hukum ketika menyelesaikan masalah serta untuk memahami mekanisme kompensasi lintas batas dalam e-commerce. Penelitian ini bersifat normatif, dengan pendekatan konseptual dan hukum. Sumber sumber hukum meliputi sumber hukum primer dan sekunder. Teknik pengumpulan bahan hukum melalui penelitian kepustakaan dan teknik analisis menggunakan cara deduktif. Terdapat upaya preventif dan deterrent untuk menyelesaikan perselisihan dalam e-commerce. Sedangkan pilihan hukum yang dikenal dalam hukum perdata internasional mencakup pilihan hukum eksplisit, pilihan hukum tersirat, pilihan hukum dugaan, dan pilihan hukum hipotetis. Selanjutnya, mekanisme kompensasi lintas negara dalam penyelesaian sengketa e-commerce dibagi menjadi tiga bagian: kompensasi sukarela, kompensasi melalui sengketa di luar pengadilan, dan kompensasi melalui sengketa pengadilan.</w:t>
            </w:r>
          </w:p>
        </w:tc>
      </w:tr>
      <w:tr w:rsidR="00D87A0D" w14:paraId="5F438D85" w14:textId="77777777">
        <w:tc>
          <w:tcPr>
            <w:tcW w:w="1512" w:type="dxa"/>
            <w:gridSpan w:val="2"/>
          </w:tcPr>
          <w:p w14:paraId="7EA5F9D4" w14:textId="77777777" w:rsidR="00D87A0D" w:rsidRDefault="00773C73">
            <w:pPr>
              <w:pStyle w:val="Title"/>
            </w:pPr>
            <w:r>
              <w:t xml:space="preserve">Kata Kunci: </w:t>
            </w:r>
          </w:p>
        </w:tc>
        <w:tc>
          <w:tcPr>
            <w:tcW w:w="7399" w:type="dxa"/>
          </w:tcPr>
          <w:p w14:paraId="406E3712" w14:textId="2B7CED07" w:rsidR="00D87A0D" w:rsidRPr="00EF1C05" w:rsidRDefault="00EF1C05">
            <w:pPr>
              <w:pStyle w:val="Subtitle"/>
              <w:rPr>
                <w:rFonts w:asciiTheme="majorHAnsi" w:eastAsia="Times" w:hAnsiTheme="majorHAnsi" w:cs="Times"/>
                <w:iCs/>
                <w:color w:val="auto"/>
                <w:lang w:val="en-US"/>
              </w:rPr>
            </w:pPr>
            <w:r>
              <w:rPr>
                <w:b/>
                <w:i/>
                <w:lang w:val="en-US"/>
              </w:rPr>
              <w:t>Perdagangan Internasional</w:t>
            </w:r>
            <w:r w:rsidR="001C2CDC" w:rsidRPr="00A9641E">
              <w:rPr>
                <w:b/>
                <w:i/>
              </w:rPr>
              <w:t xml:space="preserve">, </w:t>
            </w:r>
            <w:r>
              <w:rPr>
                <w:b/>
                <w:i/>
                <w:lang w:val="en-US"/>
              </w:rPr>
              <w:t>E-Commerce</w:t>
            </w:r>
          </w:p>
        </w:tc>
      </w:tr>
      <w:tr w:rsidR="00D87A0D" w14:paraId="35B96012" w14:textId="77777777">
        <w:tc>
          <w:tcPr>
            <w:tcW w:w="8911" w:type="dxa"/>
            <w:gridSpan w:val="3"/>
          </w:tcPr>
          <w:p w14:paraId="3D991B4E" w14:textId="77777777" w:rsidR="00D87A0D" w:rsidRDefault="00D87A0D">
            <w:pPr>
              <w:rPr>
                <w:rFonts w:ascii="Cambria" w:eastAsia="Cambria" w:hAnsi="Cambria" w:cs="Cambria"/>
                <w:color w:val="FF0000"/>
              </w:rPr>
            </w:pPr>
          </w:p>
        </w:tc>
      </w:tr>
      <w:tr w:rsidR="00D87A0D" w14:paraId="6F3A3BB8" w14:textId="77777777">
        <w:tc>
          <w:tcPr>
            <w:tcW w:w="1232" w:type="dxa"/>
            <w:tcBorders>
              <w:right w:val="single" w:sz="4" w:space="0" w:color="000000"/>
            </w:tcBorders>
          </w:tcPr>
          <w:p w14:paraId="23A75920" w14:textId="77777777" w:rsidR="00D87A0D" w:rsidRDefault="00773C73">
            <w:pPr>
              <w:pStyle w:val="Heading5"/>
              <w:outlineLvl w:val="4"/>
            </w:pPr>
            <w:r>
              <w:t>Abstract</w:t>
            </w:r>
          </w:p>
        </w:tc>
        <w:tc>
          <w:tcPr>
            <w:tcW w:w="7679" w:type="dxa"/>
            <w:gridSpan w:val="2"/>
            <w:tcBorders>
              <w:left w:val="single" w:sz="4" w:space="0" w:color="000000"/>
            </w:tcBorders>
          </w:tcPr>
          <w:p w14:paraId="45C69B22" w14:textId="03368823" w:rsidR="00D87A0D" w:rsidRPr="00EF1C05" w:rsidRDefault="00EF1C05" w:rsidP="00EF1C05">
            <w:pPr>
              <w:jc w:val="both"/>
              <w:rPr>
                <w:rFonts w:ascii="Cambria" w:hAnsi="Cambria" w:cstheme="majorHAnsi"/>
                <w:sz w:val="20"/>
                <w:szCs w:val="20"/>
              </w:rPr>
            </w:pPr>
            <w:r w:rsidRPr="005F3E97">
              <w:rPr>
                <w:rFonts w:ascii="Cambria" w:hAnsi="Cambria" w:cstheme="majorHAnsi"/>
                <w:sz w:val="20"/>
                <w:szCs w:val="20"/>
              </w:rPr>
              <w:t>The purpose of this article is to identify the remedies and choices of law that can be employed when resolving disputes in e-commerce, and to learn about cross-border compensation mechanisms when resolving disputes in e-commerce. This study is prescriptively normative and uses ideal and legal approaches. Sources of legal materials using primary and secondary legal sources. The method used to collect legal materials is gray literature review and the analytical method used is by-product method. There are preventive and deterrent measures in resolving e-commerce disputes. The known choice of law  in private international law is an explicit choice of law, whereas the secret choice of law is a considered choice of law and a hypothetical choice of law. S Second, the cross-border compensation mechanism for resolving e-commerce disputes is divided into three parts: voluntary compensation, compensation amongst out-of-court disputes, and compensation through court disputes.</w:t>
            </w:r>
          </w:p>
        </w:tc>
      </w:tr>
      <w:tr w:rsidR="00D87A0D" w14:paraId="1BE1CAA1" w14:textId="77777777">
        <w:tc>
          <w:tcPr>
            <w:tcW w:w="1512" w:type="dxa"/>
            <w:gridSpan w:val="2"/>
          </w:tcPr>
          <w:p w14:paraId="2811EFEA" w14:textId="77777777" w:rsidR="00D87A0D" w:rsidRDefault="00773C73">
            <w:pPr>
              <w:pStyle w:val="Heading5"/>
              <w:outlineLvl w:val="4"/>
            </w:pPr>
            <w:r>
              <w:t>Keywords:</w:t>
            </w:r>
          </w:p>
        </w:tc>
        <w:tc>
          <w:tcPr>
            <w:tcW w:w="7399" w:type="dxa"/>
          </w:tcPr>
          <w:p w14:paraId="532DB767" w14:textId="2591EE58" w:rsidR="00D87A0D" w:rsidRPr="00EF1C05" w:rsidRDefault="00EF1C05">
            <w:pPr>
              <w:pStyle w:val="Heading4"/>
              <w:outlineLvl w:val="3"/>
              <w:rPr>
                <w:lang w:val="en-US"/>
              </w:rPr>
            </w:pPr>
            <w:r>
              <w:rPr>
                <w:rFonts w:ascii="Cambria" w:eastAsia="Cambria" w:hAnsi="Cambria" w:cs="Cambria"/>
                <w:b/>
                <w:szCs w:val="20"/>
                <w:lang w:val="en-US"/>
              </w:rPr>
              <w:t>International Commerce, E-Commerce</w:t>
            </w:r>
          </w:p>
        </w:tc>
      </w:tr>
    </w:tbl>
    <w:p w14:paraId="42CBB936" w14:textId="77777777" w:rsidR="0012173B" w:rsidRDefault="0012173B">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0"/>
          <w:szCs w:val="20"/>
        </w:rPr>
      </w:pPr>
    </w:p>
    <w:p w14:paraId="37BDDAEF" w14:textId="77777777" w:rsidR="00EF1C05" w:rsidRDefault="00EF1C05">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0"/>
          <w:szCs w:val="20"/>
          <w:lang w:val="en-US"/>
        </w:rPr>
      </w:pPr>
    </w:p>
    <w:p w14:paraId="496E334A" w14:textId="77777777" w:rsidR="00EF1C05" w:rsidRDefault="00EF1C05">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0"/>
          <w:szCs w:val="20"/>
          <w:lang w:val="en-US"/>
        </w:rPr>
      </w:pPr>
    </w:p>
    <w:p w14:paraId="2D90E1F3" w14:textId="0984DF11" w:rsidR="00D87A0D" w:rsidRDefault="00773C73">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0"/>
          <w:szCs w:val="20"/>
        </w:rPr>
      </w:pPr>
      <w:r>
        <w:rPr>
          <w:rFonts w:ascii="Cambria" w:eastAsia="Cambria" w:hAnsi="Cambria" w:cs="Cambria"/>
          <w:color w:val="000000"/>
          <w:sz w:val="20"/>
          <w:szCs w:val="20"/>
        </w:rPr>
        <w:t>Alamat Korespondensi</w:t>
      </w:r>
    </w:p>
    <w:p w14:paraId="657729E4" w14:textId="7590FCC9" w:rsidR="00D87A0D" w:rsidRPr="008900BA" w:rsidRDefault="00773C73">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0"/>
          <w:szCs w:val="20"/>
        </w:rPr>
        <w:sectPr w:rsidR="00D87A0D" w:rsidRPr="008900BA" w:rsidSect="00D76B2E">
          <w:headerReference w:type="default" r:id="rId9"/>
          <w:footerReference w:type="default" r:id="rId10"/>
          <w:headerReference w:type="first" r:id="rId11"/>
          <w:footerReference w:type="first" r:id="rId12"/>
          <w:pgSz w:w="11907" w:h="16840"/>
          <w:pgMar w:top="1440" w:right="1406" w:bottom="1440" w:left="1440" w:header="709" w:footer="894" w:gutter="0"/>
          <w:pgNumType w:start="179"/>
          <w:cols w:space="720"/>
          <w:docGrid w:linePitch="299"/>
        </w:sectPr>
      </w:pPr>
      <w:r w:rsidRPr="008900BA">
        <w:rPr>
          <w:rFonts w:ascii="Cambria" w:eastAsia="Cambria" w:hAnsi="Cambria" w:cs="Cambria"/>
          <w:color w:val="000000"/>
          <w:sz w:val="20"/>
          <w:szCs w:val="20"/>
        </w:rPr>
        <w:t>E-mail</w:t>
      </w:r>
      <w:r>
        <w:rPr>
          <w:rFonts w:ascii="Cambria" w:eastAsia="Cambria" w:hAnsi="Cambria" w:cs="Cambria"/>
          <w:color w:val="000000"/>
          <w:sz w:val="20"/>
          <w:szCs w:val="20"/>
        </w:rPr>
        <w:t xml:space="preserve">: </w:t>
      </w:r>
      <w:r w:rsidR="00951F0F" w:rsidRPr="008900BA">
        <w:rPr>
          <w:rFonts w:ascii="Cambria" w:eastAsia="Cambria" w:hAnsi="Cambria" w:cs="Cambria"/>
          <w:color w:val="000000"/>
          <w:sz w:val="20"/>
          <w:szCs w:val="20"/>
        </w:rPr>
        <w:t xml:space="preserve"> </w:t>
      </w:r>
      <w:r w:rsidR="00EF1C05" w:rsidRPr="00EF1C05">
        <w:rPr>
          <w:rFonts w:ascii="Cambria" w:eastAsia="Cambria" w:hAnsi="Cambria" w:cs="Cambria"/>
          <w:color w:val="000000"/>
          <w:sz w:val="20"/>
          <w:szCs w:val="20"/>
        </w:rPr>
        <w:t>danarnoor9@gmail.com</w:t>
      </w:r>
      <w:r w:rsidR="00EF1C05">
        <w:t xml:space="preserve"> </w:t>
      </w:r>
      <w:hyperlink r:id="rId13" w:history="1"/>
    </w:p>
    <w:p w14:paraId="1C193E37" w14:textId="77777777" w:rsidR="00EF1C05" w:rsidRDefault="00EF1C05">
      <w:pPr>
        <w:rPr>
          <w:rFonts w:ascii="Cambria" w:eastAsia="Cambria" w:hAnsi="Cambria" w:cs="Cambria"/>
          <w:b/>
          <w:bCs/>
          <w:color w:val="000000"/>
          <w:sz w:val="28"/>
          <w:szCs w:val="28"/>
        </w:rPr>
      </w:pPr>
      <w:r>
        <w:rPr>
          <w:rFonts w:ascii="Cambria" w:eastAsia="Cambria" w:hAnsi="Cambria" w:cs="Cambria"/>
          <w:color w:val="000000"/>
          <w:szCs w:val="28"/>
        </w:rPr>
        <w:br w:type="page"/>
      </w:r>
    </w:p>
    <w:p w14:paraId="278EFD60" w14:textId="6A716AC0" w:rsidR="00D87A0D" w:rsidRDefault="00773C73">
      <w:pPr>
        <w:pStyle w:val="Heading3"/>
        <w:rPr>
          <w:rFonts w:ascii="Cambria" w:eastAsia="Cambria" w:hAnsi="Cambria" w:cs="Cambria"/>
          <w:color w:val="000000"/>
          <w:szCs w:val="28"/>
        </w:rPr>
      </w:pPr>
      <w:r>
        <w:rPr>
          <w:rFonts w:ascii="Cambria" w:eastAsia="Cambria" w:hAnsi="Cambria" w:cs="Cambria"/>
          <w:color w:val="000000"/>
          <w:szCs w:val="28"/>
        </w:rPr>
        <w:lastRenderedPageBreak/>
        <w:t>Pendahuluan</w:t>
      </w:r>
    </w:p>
    <w:p w14:paraId="1B5CCAEC" w14:textId="77777777" w:rsidR="00EF1C05" w:rsidRPr="00AD413A" w:rsidRDefault="00EF1C05" w:rsidP="00EF1C05">
      <w:pPr>
        <w:pStyle w:val="ListParagraph"/>
        <w:spacing w:line="240" w:lineRule="auto"/>
        <w:ind w:left="0"/>
        <w:jc w:val="both"/>
        <w:rPr>
          <w:rFonts w:ascii="Cambria" w:hAnsi="Cambria" w:cstheme="majorHAnsi"/>
        </w:rPr>
      </w:pPr>
      <w:r w:rsidRPr="00AD413A">
        <w:rPr>
          <w:rFonts w:ascii="Cambria" w:hAnsi="Cambria" w:cstheme="majorHAnsi"/>
        </w:rPr>
        <w:t>Di era globalisasi saat ini, kemajuan teknologi terutama dalam bidang teknologi informasi (internet) telah menghapuskan batas-batas negara dan mempersempit jarak. Dampak dari perkembangan ilmu pengetahuan dan teknologi ini terasa signifikan, terutama dalam sektor perdagangan. Fenomena serupa juga terjadi dalam konteks internasional, di mana banyak pelaku bisnis menggunakan internet untuk memasarkan produk dan menjangkau konsumen, tidak hanya di tingkat nasional tetapi juga internasional, baik dalam model bisnis business to business maupun business to consumer. Transaksi bisnis yang mengandalkan internet dikenal sebagai e-commerce.</w:t>
      </w:r>
    </w:p>
    <w:p w14:paraId="51E17B9A" w14:textId="77777777" w:rsidR="00EF1C05" w:rsidRPr="00AD413A" w:rsidRDefault="00EF1C05" w:rsidP="00EF1C05">
      <w:pPr>
        <w:pStyle w:val="ListParagraph"/>
        <w:spacing w:line="240" w:lineRule="auto"/>
        <w:ind w:left="0"/>
        <w:jc w:val="both"/>
        <w:rPr>
          <w:rFonts w:ascii="Cambria" w:hAnsi="Cambria" w:cstheme="majorHAnsi"/>
        </w:rPr>
      </w:pPr>
    </w:p>
    <w:p w14:paraId="524FA1CE" w14:textId="77777777" w:rsidR="00EF1C05" w:rsidRPr="00AD413A" w:rsidRDefault="00EF1C05" w:rsidP="00EF1C05">
      <w:pPr>
        <w:pStyle w:val="ListParagraph"/>
        <w:spacing w:line="240" w:lineRule="auto"/>
        <w:ind w:left="0"/>
        <w:jc w:val="both"/>
        <w:rPr>
          <w:rFonts w:ascii="Cambria" w:hAnsi="Cambria" w:cstheme="majorHAnsi"/>
        </w:rPr>
      </w:pPr>
      <w:r w:rsidRPr="00AD413A">
        <w:rPr>
          <w:rFonts w:ascii="Cambria" w:hAnsi="Cambria" w:cstheme="majorHAnsi"/>
        </w:rPr>
        <w:t>Keunikan dalam regulasi e-commerce adalah pelaku usaha dan konsumen tidak berinteraksi secara langsung atau membuat kesepakatan langsung. Transaksi jual beli didasarkan pada rasa kepercayaan (trust) antara pihak terlibat. Keadaan seperti ini berpotensi menimbulkan permasalahan hukum dengan konsekuensi yang mungkin terjadi, terutama jika salah satu pihak melanggar kontrak atau melakukan perbuatan melawan hukum, yang pada akhirnya dapat menghasilkan sengketa. Pentingnya masalah ini tergambar ketika transaksi e-commerce melibatkan pihak dari dua negara yang berbeda, sehingga muncul kendala dalam penerapan hukum negara. Hal ini menjadi salah satu hambatan utama untuk perkembangan e-commerce sebagai pasar global, khususnya dalam konteks penyelesaian sengketa dagang internasional antara penjual dan pembeli.</w:t>
      </w:r>
    </w:p>
    <w:p w14:paraId="53FF3407" w14:textId="77777777" w:rsidR="00EF1C05" w:rsidRPr="00AD413A" w:rsidRDefault="00EF1C05" w:rsidP="00EF1C05">
      <w:pPr>
        <w:pStyle w:val="ListParagraph"/>
        <w:spacing w:line="240" w:lineRule="auto"/>
        <w:ind w:left="0"/>
        <w:jc w:val="both"/>
        <w:rPr>
          <w:rFonts w:ascii="Cambria" w:hAnsi="Cambria" w:cstheme="majorHAnsi"/>
        </w:rPr>
      </w:pPr>
    </w:p>
    <w:p w14:paraId="007BC25E" w14:textId="77777777" w:rsidR="00EF1C05" w:rsidRPr="00AD413A" w:rsidRDefault="00EF1C05" w:rsidP="00EF1C05">
      <w:pPr>
        <w:pStyle w:val="ListParagraph"/>
        <w:spacing w:line="240" w:lineRule="auto"/>
        <w:ind w:left="0"/>
        <w:jc w:val="both"/>
        <w:rPr>
          <w:rFonts w:ascii="Cambria" w:hAnsi="Cambria" w:cstheme="majorHAnsi"/>
        </w:rPr>
      </w:pPr>
      <w:r w:rsidRPr="00AD413A">
        <w:rPr>
          <w:rFonts w:ascii="Cambria" w:hAnsi="Cambria" w:cstheme="majorHAnsi"/>
        </w:rPr>
        <w:t>Setelah penyelesaian sengketa dagang internasional dalam transaksi e-commerce, muncul permasalahan hukum baru terkait dengan cara eksekusi ganti rugi antara pihak yang bersengketa. Jika para pihak yang terlibat berada di dua negara yang memiliki sistem hukum yang berbeda, muncul pertanyaan mengenai bagaimana mekanisme eksekusi dan penyelesaian ganti rugi dapat dilaksanakan. Dengan demikian, problem statement dari penelitian ini adalah mengenai penyelesaian sengketa dagang internasional antara penjual dan pembeli dalam transaksi e-commerce, serta mekanisme ganti rugi lintas negara dalam penyelesaian sengketa transaksi e-commerce.</w:t>
      </w:r>
    </w:p>
    <w:p w14:paraId="26DC511D" w14:textId="77777777" w:rsidR="00EF1C05" w:rsidRPr="00AD413A" w:rsidRDefault="00EF1C05" w:rsidP="00EF1C05">
      <w:pPr>
        <w:pStyle w:val="ListParagraph"/>
        <w:spacing w:line="240" w:lineRule="auto"/>
        <w:ind w:left="0"/>
        <w:jc w:val="both"/>
        <w:rPr>
          <w:rFonts w:ascii="Cambria" w:hAnsi="Cambria" w:cstheme="majorHAnsi"/>
        </w:rPr>
      </w:pPr>
    </w:p>
    <w:p w14:paraId="6D208B84" w14:textId="77777777" w:rsidR="00EF1C05" w:rsidRPr="00AD413A" w:rsidRDefault="00EF1C05" w:rsidP="00EF1C05">
      <w:pPr>
        <w:pStyle w:val="ListParagraph"/>
        <w:spacing w:line="240" w:lineRule="auto"/>
        <w:ind w:left="0"/>
        <w:jc w:val="both"/>
        <w:rPr>
          <w:rFonts w:ascii="Cambria" w:hAnsi="Cambria" w:cstheme="majorHAnsi"/>
        </w:rPr>
      </w:pPr>
      <w:r w:rsidRPr="00AD413A">
        <w:rPr>
          <w:rFonts w:ascii="Cambria" w:hAnsi="Cambria" w:cstheme="majorHAnsi"/>
        </w:rPr>
        <w:t>Berdasarkan uraian di atas, beberapa rumusan masalah yang dapat diajukan adalah:</w:t>
      </w:r>
    </w:p>
    <w:p w14:paraId="14954553" w14:textId="77777777" w:rsidR="00EF1C05" w:rsidRPr="00AD413A" w:rsidRDefault="00EF1C05" w:rsidP="00EF1C05">
      <w:pPr>
        <w:pStyle w:val="ListParagraph"/>
        <w:spacing w:line="240" w:lineRule="auto"/>
        <w:ind w:left="0"/>
        <w:jc w:val="both"/>
        <w:rPr>
          <w:rFonts w:ascii="Cambria" w:hAnsi="Cambria" w:cstheme="majorHAnsi"/>
        </w:rPr>
      </w:pPr>
      <w:r w:rsidRPr="00AD413A">
        <w:rPr>
          <w:rFonts w:ascii="Cambria" w:hAnsi="Cambria" w:cstheme="majorHAnsi"/>
        </w:rPr>
        <w:t>1. Bagaimana upaya hukum dalam penyelesaian sengketa dagang internasional dalam transaksi e-commerce?</w:t>
      </w:r>
    </w:p>
    <w:p w14:paraId="496F2343" w14:textId="3D912E7C" w:rsidR="008A369E" w:rsidRPr="008A369E" w:rsidRDefault="00EF1C05" w:rsidP="00EF1C05">
      <w:pPr>
        <w:spacing w:line="240" w:lineRule="auto"/>
        <w:jc w:val="both"/>
        <w:rPr>
          <w:rFonts w:ascii="Cambria" w:eastAsia="Cambria" w:hAnsi="Cambria" w:cs="Cambria"/>
        </w:rPr>
      </w:pPr>
      <w:r w:rsidRPr="00AD413A">
        <w:rPr>
          <w:rFonts w:ascii="Cambria" w:hAnsi="Cambria" w:cstheme="majorHAnsi"/>
        </w:rPr>
        <w:t>2. Bagaimana mekanisme penyelesaian ganti rugi e-commerce melalui non-litigasi (Alternatif Penyelesaian Sengketa)?</w:t>
      </w:r>
    </w:p>
    <w:p w14:paraId="5C98E520" w14:textId="4F7A979A" w:rsidR="00F91974" w:rsidRDefault="00F91974" w:rsidP="008A369E">
      <w:pPr>
        <w:spacing w:line="240" w:lineRule="auto"/>
        <w:jc w:val="both"/>
        <w:rPr>
          <w:rFonts w:asciiTheme="majorHAnsi" w:hAnsiTheme="majorHAnsi" w:cs="Times New Roman"/>
        </w:rPr>
      </w:pPr>
    </w:p>
    <w:p w14:paraId="152437DA" w14:textId="77777777" w:rsidR="001673FF" w:rsidRPr="00F91974" w:rsidRDefault="001673FF" w:rsidP="001673FF">
      <w:pPr>
        <w:spacing w:line="240" w:lineRule="auto"/>
        <w:jc w:val="both"/>
        <w:rPr>
          <w:rFonts w:asciiTheme="majorHAnsi" w:hAnsiTheme="majorHAnsi"/>
          <w:lang w:val="en-US"/>
        </w:rPr>
      </w:pPr>
    </w:p>
    <w:p w14:paraId="1D19FA49" w14:textId="77777777" w:rsidR="00D87A0D" w:rsidRDefault="00773C73">
      <w:pPr>
        <w:spacing w:after="240" w:line="240" w:lineRule="auto"/>
        <w:jc w:val="both"/>
        <w:rPr>
          <w:rFonts w:ascii="Cambria" w:eastAsia="Cambria" w:hAnsi="Cambria" w:cs="Cambria"/>
          <w:b/>
          <w:sz w:val="28"/>
          <w:szCs w:val="28"/>
        </w:rPr>
      </w:pPr>
      <w:r>
        <w:rPr>
          <w:rFonts w:ascii="Cambria" w:eastAsia="Cambria" w:hAnsi="Cambria" w:cs="Cambria"/>
          <w:b/>
          <w:sz w:val="28"/>
          <w:szCs w:val="28"/>
        </w:rPr>
        <w:t xml:space="preserve">Metode </w:t>
      </w:r>
    </w:p>
    <w:p w14:paraId="57642B3C" w14:textId="77777777" w:rsidR="00EF1C05" w:rsidRPr="00AD413A" w:rsidRDefault="00EF1C05" w:rsidP="00EF1C05">
      <w:pPr>
        <w:pStyle w:val="NormalWeb"/>
        <w:spacing w:before="240" w:beforeAutospacing="0" w:after="240"/>
        <w:jc w:val="both"/>
        <w:rPr>
          <w:rFonts w:ascii="Cambria" w:hAnsi="Cambria" w:cstheme="majorHAnsi"/>
          <w:sz w:val="22"/>
          <w:szCs w:val="22"/>
          <w:lang w:val="en-ID" w:eastAsia="en-ID"/>
        </w:rPr>
      </w:pPr>
      <w:r w:rsidRPr="00AD413A">
        <w:rPr>
          <w:rFonts w:ascii="Cambria" w:hAnsi="Cambria" w:cstheme="majorHAnsi"/>
          <w:color w:val="000000"/>
          <w:sz w:val="22"/>
          <w:szCs w:val="22"/>
        </w:rPr>
        <w:t>Peneliti memakai data kualitatif yang bersifat deskriptif serta lebih memakai analisa dari data yang berbentuk narasi, cerita atau keterangan terdapat pada artikel, dan informasi dengan tujuan untuk mengerti dan menemukan fakta-fakta dan data yang diperlukan.</w:t>
      </w:r>
      <w:r w:rsidRPr="00AD413A">
        <w:rPr>
          <w:rFonts w:ascii="Cambria" w:hAnsi="Cambria" w:cstheme="majorHAnsi"/>
          <w:b/>
          <w:bCs/>
          <w:color w:val="000000"/>
          <w:sz w:val="22"/>
          <w:szCs w:val="22"/>
        </w:rPr>
        <w:t xml:space="preserve"> </w:t>
      </w:r>
      <w:r w:rsidRPr="00AD413A">
        <w:rPr>
          <w:rFonts w:ascii="Cambria" w:hAnsi="Cambria" w:cstheme="majorHAnsi"/>
          <w:color w:val="000000"/>
          <w:sz w:val="22"/>
          <w:szCs w:val="22"/>
        </w:rPr>
        <w:t xml:space="preserve">Penelitian jurnal ini menggunakan cara analisa studi kepustakaan serta studi masalah dari beberapa jurnal </w:t>
      </w:r>
      <w:r w:rsidRPr="00AD413A">
        <w:rPr>
          <w:rFonts w:ascii="Cambria" w:hAnsi="Cambria" w:cstheme="majorHAnsi"/>
          <w:i/>
          <w:iCs/>
          <w:color w:val="000000"/>
          <w:sz w:val="22"/>
          <w:szCs w:val="22"/>
        </w:rPr>
        <w:t>online</w:t>
      </w:r>
      <w:r w:rsidRPr="00AD413A">
        <w:rPr>
          <w:rFonts w:ascii="Cambria" w:hAnsi="Cambria" w:cstheme="majorHAnsi"/>
          <w:color w:val="000000"/>
          <w:sz w:val="22"/>
          <w:szCs w:val="22"/>
        </w:rPr>
        <w:t>, deretan artikel, dan peraturan undang-undang lalu pengumpulan data menggunakan hasil analisis jurnal dan artikel.</w:t>
      </w:r>
    </w:p>
    <w:p w14:paraId="14A2A6A7" w14:textId="1936784A" w:rsidR="008A369E" w:rsidRPr="00EF1C05" w:rsidRDefault="00EF1C05" w:rsidP="00EF1C05">
      <w:pPr>
        <w:spacing w:after="160" w:line="259" w:lineRule="auto"/>
        <w:jc w:val="both"/>
        <w:rPr>
          <w:rFonts w:ascii="Cambria" w:eastAsia="Cambria" w:hAnsi="Cambria" w:cs="Cambria"/>
          <w:lang w:val="en-US"/>
        </w:rPr>
      </w:pPr>
      <w:r w:rsidRPr="00AD413A">
        <w:rPr>
          <w:rFonts w:ascii="Cambria" w:hAnsi="Cambria" w:cstheme="majorHAnsi"/>
          <w:color w:val="000000"/>
        </w:rPr>
        <w:t>Pengolahan data ini menggunakan metode normatif empiris dengan cara analisis bahan Pustaka, data sekunder dan meninjau pada kemanfaatan suatu hukum atau peraturan dalam pelaksanaanya. Penelitian ini ditinjau dari sumber yang telah terverifikasi dengan teknik pendekatan untuk mengetahui dan memahami fakta atau kenyataan yang terjadi di lapangan serta dengan kepustakaan atau literatur yang merujuk pada peraturan, buku hukum, jurnal ilmiah dan kasus, serta Undang-Undang</w:t>
      </w:r>
      <w:r w:rsidR="008A369E" w:rsidRPr="000A3CD8">
        <w:rPr>
          <w:rFonts w:ascii="Cambria" w:eastAsia="Cambria" w:hAnsi="Cambria" w:cs="Cambria"/>
        </w:rPr>
        <w:t xml:space="preserve"> </w:t>
      </w:r>
    </w:p>
    <w:p w14:paraId="6C23D6D6" w14:textId="091F6642" w:rsidR="00D87A0D" w:rsidRDefault="00773C73">
      <w:pPr>
        <w:spacing w:after="240" w:line="240" w:lineRule="auto"/>
        <w:jc w:val="both"/>
        <w:rPr>
          <w:rFonts w:ascii="Cambria" w:eastAsia="Cambria" w:hAnsi="Cambria" w:cs="Cambria"/>
          <w:b/>
          <w:sz w:val="28"/>
          <w:szCs w:val="28"/>
        </w:rPr>
      </w:pPr>
      <w:r>
        <w:rPr>
          <w:rFonts w:ascii="Cambria" w:eastAsia="Cambria" w:hAnsi="Cambria" w:cs="Cambria"/>
          <w:b/>
          <w:sz w:val="28"/>
          <w:szCs w:val="28"/>
        </w:rPr>
        <w:lastRenderedPageBreak/>
        <w:t>Hasil dan Pembahasan</w:t>
      </w:r>
    </w:p>
    <w:p w14:paraId="2F853DF4" w14:textId="77777777" w:rsidR="00D76B2E" w:rsidRPr="00AD413A" w:rsidRDefault="00D76B2E" w:rsidP="00D76B2E">
      <w:pPr>
        <w:spacing w:line="240" w:lineRule="auto"/>
        <w:jc w:val="both"/>
        <w:rPr>
          <w:rFonts w:ascii="Cambria" w:hAnsi="Cambria" w:cstheme="majorHAnsi"/>
        </w:rPr>
      </w:pPr>
      <w:r w:rsidRPr="00AD413A">
        <w:rPr>
          <w:rFonts w:ascii="Cambria" w:hAnsi="Cambria" w:cstheme="majorHAnsi"/>
        </w:rPr>
        <w:t>Upaya penyelesaian perkara niaga internasional dalam  perdagangan elektronik Walaupun belum ada perjanjian pilihan hukum, apabila para pihak bertempat tinggal di Indonesia dan timbul sengketa sehubungan dengan transaksi niaga yang dilakukan di Indonesia mudah bagi hakim untuk memutuskan. Alternatifnya, setelah timbul perselisihan di antara para pihak, para pihak dapat mencapai kesepakatan di kemudian hari agar perselisihan tersebut diselesaikan sesuai dengan hukum Indonesia.Situasinya berbeda jika transaksi komersial dilakukan antar pihak, khususnya individu yang berdomisili di dua negara berbeda. Dalam hal ini timbul pertanyaan mengenai hukum yang berlaku. Apakah akan menggunakan hukum negara tergugat, atau harus berdasarkan hukum negara penggugat, ataukah berdasarkan negara badan usaha atau  negara para pihak? Proyek tradisional, perdagangan, perbankan, pertambangan , dalam dunia usaha minyak dan gas, energi,  dan infrastruktur, penyelesaian sengketa pada umumnya dilakukan melalui jalur litigasi. Dalam proses peradilan, para pihak diadu satu sama lain.</w:t>
      </w:r>
    </w:p>
    <w:p w14:paraId="25A6914F" w14:textId="77777777" w:rsidR="00D76B2E" w:rsidRPr="00AD413A" w:rsidRDefault="00D76B2E" w:rsidP="00D76B2E">
      <w:pPr>
        <w:spacing w:line="240" w:lineRule="auto"/>
        <w:jc w:val="both"/>
        <w:rPr>
          <w:rFonts w:ascii="Cambria" w:hAnsi="Cambria" w:cstheme="majorHAnsi"/>
        </w:rPr>
      </w:pPr>
      <w:r w:rsidRPr="00AD413A">
        <w:rPr>
          <w:rFonts w:ascii="Cambria" w:hAnsi="Cambria" w:cstheme="majorHAnsi"/>
        </w:rPr>
        <w:t>Jika tidak, penyelesaian sengketa melalui proses pengadilan akan menjadi solusi terakhir Anda jika prosedur penyelesaian sengketa alternatif lainnya gagal.</w:t>
      </w:r>
    </w:p>
    <w:p w14:paraId="02214B1C" w14:textId="77777777" w:rsidR="00D76B2E" w:rsidRPr="00AD413A" w:rsidRDefault="00D76B2E" w:rsidP="00D76B2E">
      <w:pPr>
        <w:pStyle w:val="ListParagraph"/>
        <w:spacing w:line="240" w:lineRule="auto"/>
        <w:ind w:left="1080"/>
        <w:jc w:val="both"/>
        <w:rPr>
          <w:rFonts w:ascii="Cambria" w:hAnsi="Cambria" w:cstheme="majorHAnsi"/>
        </w:rPr>
      </w:pPr>
    </w:p>
    <w:p w14:paraId="524B289E" w14:textId="77777777" w:rsidR="00D76B2E" w:rsidRPr="00AD413A" w:rsidRDefault="00D76B2E" w:rsidP="00D76B2E">
      <w:pPr>
        <w:spacing w:line="240" w:lineRule="auto"/>
        <w:jc w:val="both"/>
        <w:rPr>
          <w:rFonts w:ascii="Cambria" w:hAnsi="Cambria" w:cstheme="majorHAnsi"/>
          <w:b/>
          <w:bCs/>
        </w:rPr>
      </w:pPr>
      <w:r w:rsidRPr="00AD413A">
        <w:rPr>
          <w:rFonts w:ascii="Cambria" w:hAnsi="Cambria" w:cstheme="majorHAnsi"/>
          <w:b/>
          <w:bCs/>
        </w:rPr>
        <w:t>Tindakan pencegahan dapat dipahami sebagai segala tindakan yang diambil untuk mencegah terjadinya peristiwa atau situasi (kerusakan) yang tidak diinginkan. Dapat melakukan berbagai langkah untuk mencegah kerugian.</w:t>
      </w:r>
    </w:p>
    <w:p w14:paraId="28621F20" w14:textId="77777777" w:rsidR="00D76B2E" w:rsidRPr="00493487" w:rsidRDefault="00D76B2E" w:rsidP="00D76B2E">
      <w:pPr>
        <w:pStyle w:val="ListParagraph"/>
        <w:numPr>
          <w:ilvl w:val="0"/>
          <w:numId w:val="26"/>
        </w:numPr>
        <w:spacing w:after="160" w:line="240" w:lineRule="auto"/>
        <w:ind w:left="360"/>
        <w:jc w:val="both"/>
        <w:rPr>
          <w:rFonts w:ascii="Cambria" w:hAnsi="Cambria" w:cstheme="majorHAnsi"/>
        </w:rPr>
      </w:pPr>
      <w:r w:rsidRPr="00493487">
        <w:rPr>
          <w:rFonts w:ascii="Cambria" w:hAnsi="Cambria" w:cstheme="majorHAnsi"/>
        </w:rPr>
        <w:t>Kehati-hatian Nasabah dalam bertransaksi.</w:t>
      </w:r>
    </w:p>
    <w:p w14:paraId="5750E46B" w14:textId="77777777" w:rsidR="00D76B2E"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Konsumen harus memperhatikan ketika bertransaksi, termasuk keandalan dan keamanan situs web perusahaan, peraturan dan kontrak e-commerce yang berlaku, hukum yang berlaku dan kewenangan yang biasanya diberlakukan oleh pelaku ekonomi di negara maju. Hal ini termasuk hak istimewa forum yang Anda miliki. Konsumen yang menggunakan kartu kredit dalam perdagangan elektronik untuk memperoleh layanan perbankan.</w:t>
      </w:r>
    </w:p>
    <w:p w14:paraId="5557B5E3" w14:textId="77777777" w:rsidR="00D76B2E" w:rsidRDefault="00D76B2E" w:rsidP="00D76B2E">
      <w:pPr>
        <w:pStyle w:val="ListParagraph"/>
        <w:spacing w:line="240" w:lineRule="auto"/>
        <w:ind w:left="0"/>
        <w:jc w:val="both"/>
        <w:rPr>
          <w:rFonts w:ascii="Cambria" w:hAnsi="Cambria" w:cstheme="majorHAnsi"/>
        </w:rPr>
      </w:pPr>
    </w:p>
    <w:p w14:paraId="20E99737" w14:textId="77777777" w:rsidR="00D76B2E" w:rsidRDefault="00D76B2E" w:rsidP="00D76B2E">
      <w:pPr>
        <w:pStyle w:val="ListParagraph"/>
        <w:numPr>
          <w:ilvl w:val="0"/>
          <w:numId w:val="26"/>
        </w:numPr>
        <w:spacing w:after="160" w:line="240" w:lineRule="auto"/>
        <w:ind w:left="360"/>
        <w:jc w:val="both"/>
        <w:rPr>
          <w:rFonts w:ascii="Cambria" w:hAnsi="Cambria" w:cstheme="majorHAnsi"/>
        </w:rPr>
      </w:pPr>
      <w:r w:rsidRPr="00AD413A">
        <w:rPr>
          <w:rFonts w:ascii="Cambria" w:hAnsi="Cambria" w:cstheme="majorHAnsi"/>
        </w:rPr>
        <w:t>Pengaturan mandiri oleh pelaku ekonomi.</w:t>
      </w:r>
    </w:p>
    <w:p w14:paraId="3C5AD2FA" w14:textId="77777777" w:rsidR="00D76B2E"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Pengaturan mandiri dapat dicapai melalui peningkatan metode perdagangan, sistem keamanan, pembayaran, pengiriman barang, dan penyelesaian perselisihan ketika timbul perselisihan.</w:t>
      </w:r>
      <w:r>
        <w:rPr>
          <w:rFonts w:ascii="Cambria" w:hAnsi="Cambria" w:cstheme="majorHAnsi"/>
        </w:rPr>
        <w:t xml:space="preserve"> </w:t>
      </w:r>
      <w:r w:rsidRPr="00AD413A">
        <w:rPr>
          <w:rFonts w:ascii="Cambria" w:hAnsi="Cambria" w:cstheme="majorHAnsi"/>
        </w:rPr>
        <w:t>Hal ini meningkatkan kepercayaan konsumen dan memungkinkan operator ekonomi mendapatkan keuntungan dari banyaknya konsumen yang bertransaksi di situs web mereka.</w:t>
      </w:r>
    </w:p>
    <w:p w14:paraId="035C8AEE" w14:textId="77777777" w:rsidR="00D76B2E" w:rsidRDefault="00D76B2E" w:rsidP="00D76B2E">
      <w:pPr>
        <w:pStyle w:val="ListParagraph"/>
        <w:spacing w:line="240" w:lineRule="auto"/>
        <w:ind w:left="0"/>
        <w:jc w:val="both"/>
        <w:rPr>
          <w:rFonts w:ascii="Cambria" w:hAnsi="Cambria" w:cstheme="majorHAnsi"/>
        </w:rPr>
      </w:pPr>
    </w:p>
    <w:p w14:paraId="104A723A" w14:textId="77777777" w:rsidR="00D76B2E" w:rsidRPr="00493487" w:rsidRDefault="00D76B2E" w:rsidP="00D76B2E">
      <w:pPr>
        <w:pStyle w:val="ListParagraph"/>
        <w:numPr>
          <w:ilvl w:val="0"/>
          <w:numId w:val="26"/>
        </w:numPr>
        <w:spacing w:after="160" w:line="240" w:lineRule="auto"/>
        <w:ind w:left="360"/>
        <w:jc w:val="both"/>
        <w:rPr>
          <w:rFonts w:ascii="Cambria" w:hAnsi="Cambria" w:cstheme="majorHAnsi"/>
        </w:rPr>
      </w:pPr>
      <w:r w:rsidRPr="00AD413A">
        <w:rPr>
          <w:rFonts w:ascii="Cambria" w:hAnsi="Cambria" w:cstheme="majorHAnsi"/>
        </w:rPr>
        <w:t>Pengawasan dan perlindungan oleh pemerintah dan instansi terkait.</w:t>
      </w:r>
    </w:p>
    <w:p w14:paraId="130CE387"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Kewajiban pemerintah tertuang dalam Pasal 40 tentang perlindungan.</w:t>
      </w:r>
    </w:p>
    <w:p w14:paraId="70817E51" w14:textId="77777777" w:rsidR="00D76B2E" w:rsidRPr="00AD413A" w:rsidRDefault="00D76B2E" w:rsidP="00D76B2E">
      <w:pPr>
        <w:pStyle w:val="ListParagraph"/>
        <w:spacing w:line="240" w:lineRule="auto"/>
        <w:ind w:left="0"/>
        <w:jc w:val="both"/>
        <w:rPr>
          <w:rFonts w:ascii="Cambria" w:hAnsi="Cambria" w:cstheme="majorHAnsi"/>
        </w:rPr>
      </w:pPr>
    </w:p>
    <w:p w14:paraId="32D7E62F" w14:textId="77777777" w:rsidR="00D76B2E" w:rsidRPr="00AD413A" w:rsidRDefault="00D76B2E" w:rsidP="00D76B2E">
      <w:pPr>
        <w:pStyle w:val="ListParagraph"/>
        <w:numPr>
          <w:ilvl w:val="0"/>
          <w:numId w:val="26"/>
        </w:numPr>
        <w:spacing w:after="160" w:line="240" w:lineRule="auto"/>
        <w:ind w:left="360"/>
        <w:jc w:val="both"/>
        <w:rPr>
          <w:rFonts w:ascii="Cambria" w:hAnsi="Cambria" w:cstheme="majorHAnsi"/>
        </w:rPr>
      </w:pPr>
      <w:r w:rsidRPr="00AD413A">
        <w:rPr>
          <w:rFonts w:ascii="Cambria" w:hAnsi="Cambria" w:cstheme="majorHAnsi"/>
        </w:rPr>
        <w:t>Mediasi (perjanjian).</w:t>
      </w:r>
    </w:p>
    <w:p w14:paraId="1FA65D30" w14:textId="77777777" w:rsidR="00D76B2E" w:rsidRPr="00AD413A" w:rsidRDefault="00D76B2E" w:rsidP="00D76B2E">
      <w:pPr>
        <w:pStyle w:val="ListParagraph"/>
        <w:spacing w:line="240" w:lineRule="auto"/>
        <w:ind w:left="0"/>
        <w:jc w:val="both"/>
        <w:rPr>
          <w:rFonts w:ascii="Cambria" w:hAnsi="Cambria" w:cstheme="majorHAnsi"/>
        </w:rPr>
      </w:pPr>
      <w:r>
        <w:rPr>
          <w:rFonts w:ascii="Cambria" w:hAnsi="Cambria" w:cstheme="majorHAnsi"/>
        </w:rPr>
        <w:t>M</w:t>
      </w:r>
      <w:r w:rsidRPr="00AD413A">
        <w:rPr>
          <w:rFonts w:ascii="Cambria" w:hAnsi="Cambria" w:cstheme="majorHAnsi"/>
        </w:rPr>
        <w:t>erupakan penyelesaian perkara yang melibatkan pihak ketiga (arbiter), dimana arbiter berinisiatif untuk lebih proaktif membuat dan menyelesaikan suatu kesepakatan, serta memberikan rekomendasi kepada para pihak yang bersengketa.</w:t>
      </w:r>
    </w:p>
    <w:p w14:paraId="4C51B22F" w14:textId="77777777" w:rsidR="00D76B2E" w:rsidRPr="00AD413A" w:rsidRDefault="00D76B2E" w:rsidP="00D76B2E">
      <w:pPr>
        <w:pStyle w:val="ListParagraph"/>
        <w:spacing w:line="240" w:lineRule="auto"/>
        <w:ind w:left="0"/>
        <w:jc w:val="both"/>
        <w:rPr>
          <w:rFonts w:ascii="Cambria" w:hAnsi="Cambria" w:cstheme="majorHAnsi"/>
        </w:rPr>
      </w:pPr>
    </w:p>
    <w:p w14:paraId="752D944E" w14:textId="77777777" w:rsidR="00D76B2E"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Arbitrase berdasarkan Pasal 1 UU No. 30 Tahun 1999 tentang Arbitrase dan Alternatif Penyelesaian Sengketa.</w:t>
      </w:r>
    </w:p>
    <w:p w14:paraId="709F6F5E"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Arbitrase merupakan suatu cara penanganan sengketa perdata di luar pengadilan biasa berdasarkan kesepakatan tertulis antara para pihak.</w:t>
      </w:r>
    </w:p>
    <w:p w14:paraId="2F804CE1" w14:textId="77777777" w:rsidR="00D76B2E" w:rsidRPr="00AD413A" w:rsidRDefault="00D76B2E" w:rsidP="00D76B2E">
      <w:pPr>
        <w:pStyle w:val="ListParagraph"/>
        <w:spacing w:line="240" w:lineRule="auto"/>
        <w:ind w:left="0"/>
        <w:jc w:val="both"/>
        <w:rPr>
          <w:rFonts w:ascii="Cambria" w:hAnsi="Cambria" w:cstheme="majorHAnsi"/>
        </w:rPr>
      </w:pPr>
    </w:p>
    <w:p w14:paraId="68122495" w14:textId="77777777" w:rsidR="00D76B2E"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 xml:space="preserve">Online Dispute Resolution (ODR), cara penanganan perkara di luar pengadilan yang menggunakan internet sebagai alat untuk penyelesaian perkara yang terjadi antara para pihak. ODR memiliki fasilitas untuk berkomunikasi walaupun tidak bertemu secara tatap muka (face to face) dengan video conference (zoom/ gmeet).  </w:t>
      </w:r>
    </w:p>
    <w:p w14:paraId="1B1267F6" w14:textId="77777777" w:rsidR="00D76B2E" w:rsidRDefault="00D76B2E" w:rsidP="00D76B2E">
      <w:pPr>
        <w:pStyle w:val="ListParagraph"/>
        <w:spacing w:line="240" w:lineRule="auto"/>
        <w:ind w:left="0"/>
        <w:jc w:val="both"/>
        <w:rPr>
          <w:rFonts w:ascii="Cambria" w:hAnsi="Cambria" w:cstheme="majorHAnsi"/>
        </w:rPr>
      </w:pPr>
    </w:p>
    <w:p w14:paraId="2C2AF733" w14:textId="77777777" w:rsidR="00D76B2E" w:rsidRPr="006655F7" w:rsidRDefault="00D76B2E" w:rsidP="00D76B2E">
      <w:pPr>
        <w:pStyle w:val="ListParagraph"/>
        <w:spacing w:line="240" w:lineRule="auto"/>
        <w:ind w:left="0"/>
        <w:jc w:val="both"/>
        <w:rPr>
          <w:rFonts w:ascii="Cambria" w:hAnsi="Cambria" w:cstheme="majorHAnsi"/>
        </w:rPr>
      </w:pPr>
      <w:r w:rsidRPr="006655F7">
        <w:rPr>
          <w:rFonts w:ascii="Cambria" w:hAnsi="Cambria" w:cstheme="majorHAnsi"/>
        </w:rPr>
        <w:t xml:space="preserve">Pilihan hukum untuk penyelesaian sengketa komersial internasional dalam perdagangan elektronik Hukum yang berlaku untuk penyelesaian sengketa komersial internasional secara </w:t>
      </w:r>
      <w:r w:rsidRPr="006655F7">
        <w:rPr>
          <w:rFonts w:ascii="Cambria" w:hAnsi="Cambria" w:cstheme="majorHAnsi"/>
        </w:rPr>
        <w:lastRenderedPageBreak/>
        <w:t>elektronik. Pasal 18(2) UU ITE menyatakan  para pihak mempunyai kekuasaan untuk menentukan hukum yang berlaku terhadap perdagangan elektronik yang dilakukan. Oleh karena itu, dalam hal ini para pihak perlu memutuskan hukum mana yang akan diterapkan jika terjadi perselisihan di kemudian hari (pilihan hukum).</w:t>
      </w:r>
    </w:p>
    <w:p w14:paraId="075A272A" w14:textId="77777777" w:rsidR="00D76B2E" w:rsidRPr="00493487" w:rsidRDefault="00D76B2E" w:rsidP="00D76B2E">
      <w:pPr>
        <w:spacing w:line="240" w:lineRule="auto"/>
        <w:jc w:val="both"/>
        <w:rPr>
          <w:rFonts w:ascii="Cambria" w:hAnsi="Cambria" w:cstheme="majorHAnsi"/>
        </w:rPr>
      </w:pPr>
      <w:r w:rsidRPr="00493487">
        <w:rPr>
          <w:rFonts w:ascii="Cambria" w:hAnsi="Cambria" w:cstheme="majorHAnsi"/>
        </w:rPr>
        <w:t xml:space="preserve">Hal ini disebut  prinsip kebebasan berkontrak atau “otonomi partai”. Terdapat empat macam  pilihan hukum yang dapat dilakukan oleh para pihak, salah satunya adalah hukum perdata internasional: pilihan hukum yang eksplisit, pilihan hukum yang tersirat, pilihan hukum yang diasumsikan, dan pilihan hukum yang bersifat dugaan. </w:t>
      </w:r>
      <w:r w:rsidRPr="00AD413A">
        <w:rPr>
          <w:rStyle w:val="FootnoteReference"/>
          <w:rFonts w:ascii="Cambria" w:hAnsi="Cambria" w:cstheme="majorHAnsi"/>
        </w:rPr>
        <w:footnoteReference w:id="1"/>
      </w:r>
      <w:r w:rsidRPr="00493487">
        <w:rPr>
          <w:rFonts w:ascii="Cambria" w:hAnsi="Cambria" w:cstheme="majorHAnsi"/>
        </w:rPr>
        <w:t xml:space="preserve"> </w:t>
      </w:r>
    </w:p>
    <w:p w14:paraId="289D1C40" w14:textId="77777777" w:rsidR="00D76B2E" w:rsidRPr="00AD413A" w:rsidRDefault="00D76B2E" w:rsidP="00D76B2E">
      <w:pPr>
        <w:pStyle w:val="ListParagraph"/>
        <w:spacing w:line="240" w:lineRule="auto"/>
        <w:ind w:left="0"/>
        <w:jc w:val="both"/>
        <w:rPr>
          <w:rFonts w:ascii="Cambria" w:hAnsi="Cambria" w:cstheme="majorHAnsi"/>
        </w:rPr>
      </w:pPr>
    </w:p>
    <w:p w14:paraId="2E517A40"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 xml:space="preserve">Mekanisme Ganti Rugi Lintas Negara dalam Penyelesaian Sengketa Transaksi E-Commerce </w:t>
      </w:r>
    </w:p>
    <w:p w14:paraId="06CBA92B" w14:textId="77777777" w:rsidR="00D76B2E" w:rsidRDefault="00D76B2E" w:rsidP="00D76B2E">
      <w:pPr>
        <w:pStyle w:val="ListParagraph"/>
        <w:spacing w:line="240" w:lineRule="auto"/>
        <w:ind w:left="0"/>
        <w:jc w:val="both"/>
        <w:rPr>
          <w:rFonts w:ascii="Cambria" w:hAnsi="Cambria" w:cstheme="majorHAnsi"/>
          <w:b/>
          <w:bCs/>
        </w:rPr>
      </w:pPr>
    </w:p>
    <w:p w14:paraId="4E2587C6" w14:textId="77777777" w:rsidR="00D76B2E" w:rsidRPr="00AD413A" w:rsidRDefault="00D76B2E" w:rsidP="00D76B2E">
      <w:pPr>
        <w:pStyle w:val="ListParagraph"/>
        <w:numPr>
          <w:ilvl w:val="0"/>
          <w:numId w:val="27"/>
        </w:numPr>
        <w:spacing w:after="160" w:line="240" w:lineRule="auto"/>
        <w:ind w:left="360"/>
        <w:jc w:val="both"/>
        <w:rPr>
          <w:rFonts w:ascii="Cambria" w:hAnsi="Cambria" w:cstheme="majorHAnsi"/>
          <w:b/>
          <w:bCs/>
        </w:rPr>
      </w:pPr>
      <w:r w:rsidRPr="00AD413A">
        <w:rPr>
          <w:rFonts w:ascii="Cambria" w:hAnsi="Cambria" w:cstheme="majorHAnsi"/>
          <w:b/>
          <w:bCs/>
        </w:rPr>
        <w:t>Mekanisme penanganan ganti rugi e-commerce bisa (secara langsung) dengan jalan damai.</w:t>
      </w:r>
    </w:p>
    <w:p w14:paraId="10D696C4" w14:textId="77777777" w:rsidR="00D76B2E" w:rsidRDefault="00D76B2E" w:rsidP="00D76B2E">
      <w:pPr>
        <w:pStyle w:val="ListParagraph"/>
        <w:spacing w:line="240" w:lineRule="auto"/>
        <w:ind w:left="0"/>
        <w:jc w:val="both"/>
        <w:rPr>
          <w:rFonts w:ascii="Cambria" w:hAnsi="Cambria" w:cstheme="majorHAnsi"/>
        </w:rPr>
      </w:pPr>
    </w:p>
    <w:p w14:paraId="13629CE5"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Berdasarkan Pasal 19 Ayat 1 dan Ayat 3 UUPK, konsumen yang merasa dirugikan dapat langsung menuntut ganti rugi kepada produsen, dan produsen harus menanggapi dan/atau menyelesaikan transaksi tersebut dalam jangka waktu 7 hari setelah terjadinya transaksi dilakukan. Dalam praktik  e-commerce, terdapat jaminan  ganti rugi dari penjual. Garansi ini biasanya berupa kompensasi jika barang datang terlambat, tidak sesuai pesanan Anda, atau rusak dalam perjalanan. Kompensasi sukarela berarti penjual hanya dengan sukarela membayar kompensasi jika terjadi penyimpangan dari kontrak.</w:t>
      </w:r>
    </w:p>
    <w:p w14:paraId="4929BFCD" w14:textId="77777777" w:rsidR="00D76B2E" w:rsidRPr="00AD413A" w:rsidRDefault="00D76B2E" w:rsidP="00D76B2E">
      <w:pPr>
        <w:pStyle w:val="ListParagraph"/>
        <w:spacing w:line="240" w:lineRule="auto"/>
        <w:ind w:left="0"/>
        <w:jc w:val="both"/>
        <w:rPr>
          <w:rFonts w:ascii="Cambria" w:hAnsi="Cambria" w:cstheme="majorHAnsi"/>
        </w:rPr>
      </w:pPr>
    </w:p>
    <w:p w14:paraId="61B007AB"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b/>
          <w:bCs/>
        </w:rPr>
        <w:t>B.</w:t>
      </w:r>
      <w:r w:rsidRPr="00AD413A">
        <w:rPr>
          <w:rFonts w:ascii="Cambria" w:hAnsi="Cambria" w:cstheme="majorHAnsi"/>
        </w:rPr>
        <w:t xml:space="preserve"> </w:t>
      </w:r>
      <w:r w:rsidRPr="00AD413A">
        <w:rPr>
          <w:rFonts w:ascii="Cambria" w:hAnsi="Cambria" w:cstheme="majorHAnsi"/>
          <w:b/>
          <w:bCs/>
        </w:rPr>
        <w:t>Mekanisme penyelesaian ganti rugi e-commerce melalui non litigasi (Alternatif Penyelesaian Sengketa)</w:t>
      </w:r>
      <w:r w:rsidRPr="00AD413A">
        <w:rPr>
          <w:rFonts w:ascii="Cambria" w:hAnsi="Cambria" w:cstheme="majorHAnsi"/>
        </w:rPr>
        <w:t xml:space="preserve"> </w:t>
      </w:r>
    </w:p>
    <w:p w14:paraId="3923100D"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 xml:space="preserve">Dalam kasus di mana putusan arbitrase asing menyebabkan ganti rugi, ada empat tahapan yang harus dilalui agar putusan tersebut dapat diterapkan di Indonesia, menurut Pasal 67, 68 dan 69 UU No. 30 Tahun 1999 tentang Arbitrase dan Alternatif Penyelesaian Sengketa. Langkah-langkah berikut diperlukan: </w:t>
      </w:r>
    </w:p>
    <w:p w14:paraId="112B8FE7"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1) Menyerahkan dan mendaftarkan putusan pada PN Jakarta Pusat.</w:t>
      </w:r>
    </w:p>
    <w:p w14:paraId="4F3C47D7"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2) Tahap penerapan untuk melaksanakan keputusan.</w:t>
      </w:r>
    </w:p>
    <w:p w14:paraId="569CE26A"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3) Tahap instruksi untuk pelaksanaan keputusan.</w:t>
      </w:r>
    </w:p>
    <w:p w14:paraId="5BA6D825"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4) tahap pelaksanaan pengambilan keputusan.</w:t>
      </w:r>
    </w:p>
    <w:p w14:paraId="2ABEE2E7" w14:textId="77777777" w:rsidR="00D76B2E" w:rsidRPr="00AD413A" w:rsidRDefault="00D76B2E" w:rsidP="00D76B2E">
      <w:pPr>
        <w:pStyle w:val="ListParagraph"/>
        <w:spacing w:line="240" w:lineRule="auto"/>
        <w:ind w:left="0"/>
        <w:jc w:val="both"/>
        <w:rPr>
          <w:rFonts w:ascii="Cambria" w:hAnsi="Cambria" w:cstheme="majorHAnsi"/>
        </w:rPr>
      </w:pPr>
    </w:p>
    <w:p w14:paraId="78137B20" w14:textId="77777777" w:rsidR="00D76B2E" w:rsidRPr="00AD413A" w:rsidRDefault="00D76B2E" w:rsidP="00D76B2E">
      <w:pPr>
        <w:pStyle w:val="ListParagraph"/>
        <w:spacing w:line="240" w:lineRule="auto"/>
        <w:ind w:left="0"/>
        <w:jc w:val="both"/>
        <w:rPr>
          <w:rFonts w:ascii="Cambria" w:hAnsi="Cambria" w:cstheme="majorHAnsi"/>
        </w:rPr>
      </w:pPr>
    </w:p>
    <w:p w14:paraId="1E677835"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Cara menyelesaikan ganti rugi e-commerce melalui litigasi (pengadilan) terdiri dari 4 tahap eksekusi, yakni: </w:t>
      </w:r>
    </w:p>
    <w:p w14:paraId="027B4D38"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1) permohonan eksekusi; </w:t>
      </w:r>
    </w:p>
    <w:p w14:paraId="4F4E0727"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2) aanmaning;</w:t>
      </w:r>
    </w:p>
    <w:p w14:paraId="7F754AA5"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3) permohonan eksekusi sita;</w:t>
      </w:r>
    </w:p>
    <w:p w14:paraId="51BD86DD"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4) penetapan mekanisme eksekusi; dan</w:t>
      </w:r>
    </w:p>
    <w:p w14:paraId="6EEBADEA"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5) Penyelenggaraan lelang (Pasal 195-224 HIR).</w:t>
      </w:r>
    </w:p>
    <w:p w14:paraId="627BDDD8" w14:textId="77777777" w:rsidR="00D76B2E" w:rsidRPr="00AD413A" w:rsidRDefault="00D76B2E" w:rsidP="00D76B2E">
      <w:pPr>
        <w:pStyle w:val="ListParagraph"/>
        <w:spacing w:line="240" w:lineRule="auto"/>
        <w:ind w:left="0"/>
        <w:jc w:val="both"/>
        <w:rPr>
          <w:rFonts w:ascii="Cambria" w:hAnsi="Cambria" w:cstheme="majorHAnsi"/>
        </w:rPr>
      </w:pPr>
    </w:p>
    <w:p w14:paraId="44FAA0C7" w14:textId="77777777" w:rsidR="00D76B2E"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 xml:space="preserve">Dalam hal putusan pengadilan asing, Bapak Yahya Harahap menjelaskan bahwa menurut Pasal 436 Undang-undang, putusan tersebut tidak dapat dilaksanakan di wilayah Negara Republik Indonesia, kecuali ada ketentuan hukum yang mengatur lain.Bapak M.Yahya Harahap menyampaikan bahwa tata cara pelaksanaan putusan pengadilan asing di Indonesia memerlukan langkah tambahan yaitu mengajukan gugatan baru ke pengadilan Indonesia sesuai dengan ketentuan Pasal 436(2)Rv, jelasnya. Ia menambahkan, hal itu diperlukan untuk menjadikan putusan tersebut sebagai dasar hukum dalam mengajukan gugatan.Lebih lanjut Yahya Harahap menyatakan, satu-satunya cara untuk melaksanakan putusan pengadilan asing di Indonesia adalah dengan mengubah putusan tersebut menjadi undang-undang dan mengajukan gugatan </w:t>
      </w:r>
      <w:r w:rsidRPr="00AD413A">
        <w:rPr>
          <w:rFonts w:ascii="Cambria" w:hAnsi="Cambria" w:cstheme="majorHAnsi"/>
        </w:rPr>
        <w:lastRenderedPageBreak/>
        <w:t>baru ke pengadilan Indonesia berdasarkan Pasal 436(2) pasal tersebut dikutip agar bisa dijadikan alasan.</w:t>
      </w:r>
    </w:p>
    <w:p w14:paraId="5DF6CF0D" w14:textId="77777777" w:rsidR="00D76B2E" w:rsidRPr="00AD413A" w:rsidRDefault="00D76B2E" w:rsidP="00D76B2E">
      <w:pPr>
        <w:pStyle w:val="ListParagraph"/>
        <w:spacing w:line="240" w:lineRule="auto"/>
        <w:ind w:left="0"/>
        <w:jc w:val="both"/>
        <w:rPr>
          <w:rFonts w:ascii="Cambria" w:hAnsi="Cambria" w:cstheme="majorHAnsi"/>
        </w:rPr>
      </w:pPr>
    </w:p>
    <w:p w14:paraId="607220FA"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 xml:space="preserve"> Putusan pengadilan asing dapat dianggap sebagai alat bukti tertulis oleh pengadilan Indonesia, yang kekuatannya bergantung pada penafsiran perkara.</w:t>
      </w:r>
    </w:p>
    <w:p w14:paraId="15680F4F" w14:textId="77777777" w:rsidR="00D76B2E"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 xml:space="preserve"> Itu adalah:</w:t>
      </w:r>
    </w:p>
    <w:p w14:paraId="5420002C" w14:textId="77777777" w:rsidR="00D76B2E" w:rsidRPr="00AD413A" w:rsidRDefault="00D76B2E" w:rsidP="00D76B2E">
      <w:pPr>
        <w:pStyle w:val="ListParagraph"/>
        <w:spacing w:line="240" w:lineRule="auto"/>
        <w:ind w:left="0"/>
        <w:jc w:val="both"/>
        <w:rPr>
          <w:rFonts w:ascii="Cambria" w:hAnsi="Cambria" w:cstheme="majorHAnsi"/>
        </w:rPr>
      </w:pPr>
    </w:p>
    <w:p w14:paraId="6AB373D8"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1) Mempunyai nilai akta asli sehingga mempunyai kuasa dan mengikat.</w:t>
      </w:r>
    </w:p>
    <w:p w14:paraId="017019D6" w14:textId="77777777" w:rsidR="00D76B2E" w:rsidRPr="00AD413A" w:rsidRDefault="00D76B2E" w:rsidP="00D76B2E">
      <w:pPr>
        <w:pStyle w:val="ListParagraph"/>
        <w:spacing w:line="240" w:lineRule="auto"/>
        <w:ind w:left="0"/>
        <w:jc w:val="both"/>
        <w:rPr>
          <w:rFonts w:ascii="Cambria" w:hAnsi="Cambria" w:cstheme="majorHAnsi"/>
        </w:rPr>
      </w:pPr>
      <w:r w:rsidRPr="00AD413A">
        <w:rPr>
          <w:rFonts w:ascii="Cambria" w:hAnsi="Cambria" w:cstheme="majorHAnsi"/>
        </w:rPr>
        <w:t xml:space="preserve"> nilai pembuktian.atau </w:t>
      </w:r>
    </w:p>
    <w:p w14:paraId="43B57154" w14:textId="449BDD97" w:rsidR="00722978" w:rsidRPr="008A369E" w:rsidRDefault="00D76B2E" w:rsidP="00D76B2E">
      <w:pPr>
        <w:spacing w:line="276" w:lineRule="auto"/>
        <w:jc w:val="both"/>
        <w:rPr>
          <w:rFonts w:asciiTheme="majorHAnsi" w:hAnsiTheme="majorHAnsi" w:cs="Times New Roman"/>
        </w:rPr>
      </w:pPr>
      <w:r w:rsidRPr="00AD413A">
        <w:rPr>
          <w:rFonts w:ascii="Cambria" w:hAnsi="Cambria" w:cstheme="majorHAnsi"/>
        </w:rPr>
        <w:t>2) Yang berlaku hanya fakta hukum yang dinilai secara bebas setelah peninjauan kembali.</w:t>
      </w:r>
    </w:p>
    <w:p w14:paraId="4A99BA9C" w14:textId="77777777" w:rsidR="00911EF3" w:rsidRPr="00722978" w:rsidRDefault="00911EF3" w:rsidP="00911EF3">
      <w:pPr>
        <w:spacing w:line="276" w:lineRule="auto"/>
        <w:jc w:val="both"/>
        <w:rPr>
          <w:rFonts w:asciiTheme="majorHAnsi" w:eastAsia="Times" w:hAnsiTheme="majorHAnsi" w:cs="Times"/>
        </w:rPr>
      </w:pPr>
    </w:p>
    <w:p w14:paraId="26083041" w14:textId="39F92FDB" w:rsidR="00D87A0D" w:rsidRDefault="00773C73">
      <w:pPr>
        <w:pStyle w:val="Heading3"/>
      </w:pPr>
      <w:r>
        <w:t>Kesimpulan</w:t>
      </w:r>
    </w:p>
    <w:p w14:paraId="7D7AEAB7" w14:textId="5D8C9043" w:rsidR="00E76AAB" w:rsidRPr="008A369E" w:rsidRDefault="00D76B2E" w:rsidP="00D76B2E">
      <w:pPr>
        <w:spacing w:after="160" w:line="259" w:lineRule="auto"/>
        <w:jc w:val="both"/>
        <w:rPr>
          <w:rFonts w:asciiTheme="majorHAnsi" w:eastAsia="Cambria" w:hAnsiTheme="majorHAnsi" w:cs="Cambria"/>
          <w:lang w:val="en-US"/>
        </w:rPr>
      </w:pPr>
      <w:r w:rsidRPr="00AD413A">
        <w:rPr>
          <w:rFonts w:ascii="Cambria" w:hAnsi="Cambria" w:cstheme="majorHAnsi"/>
        </w:rPr>
        <w:t>Berdasarkan hasil dan analisis yang telah dilakukan, dapat disimpulkan bahwa terdapat strategi preventif dan represif yang dapat diimplementasikan untuk menyelesaikan sengketa dagang internasional dalam konteks transaksi e-commerce. Sementara itu, dalam kerangka Hukum Perdata Internasional, opsi pilihan hukum yang dikenal melibatkan pemilihan hukum secara eksplisit, secara implisit, yang dianggap berlaku, dan yang diajukan secara hipotetis. Lebih lanjut, mekanisme kompensasi lintas negara untuk penyelesaian sengketa transaksi e-commerce dapat dibagi menjadi tiga bagian, yakni ganti rugi yang bersifat sukarela, ganti rugi melalui jalur non-litigasi, dan ganti rugi yang melibatkan proses litigasi.</w:t>
      </w:r>
    </w:p>
    <w:p w14:paraId="7D31E734" w14:textId="77777777" w:rsidR="00D76B2E" w:rsidRDefault="00D76B2E" w:rsidP="00B72EB0">
      <w:pPr>
        <w:rPr>
          <w:rFonts w:asciiTheme="majorHAnsi" w:eastAsiaTheme="majorEastAsia" w:hAnsiTheme="majorHAnsi" w:cstheme="majorBidi"/>
          <w:b/>
          <w:bCs/>
          <w:color w:val="000000" w:themeColor="text1"/>
          <w:sz w:val="28"/>
        </w:rPr>
      </w:pPr>
    </w:p>
    <w:p w14:paraId="0FDCE20F" w14:textId="025FDD08" w:rsidR="00D76B2E" w:rsidRDefault="00D76B2E" w:rsidP="00D76B2E">
      <w:pPr>
        <w:pStyle w:val="Heading3"/>
      </w:pPr>
      <w:r w:rsidRPr="00D76B2E">
        <w:t>References</w:t>
      </w:r>
    </w:p>
    <w:p w14:paraId="40EDBDD1"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Aryani, E. T., &amp; Kholil, M. (2021). PENYELESAIAN SENGKETA DAGANG INTERNASIONAL ANTARA PENJUAL DAN PEMBELI DALAM TRANSAKSI E-COMMERCE.</w:t>
      </w:r>
    </w:p>
    <w:p w14:paraId="7B97C194"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 xml:space="preserve">Hanif, R. N. (2020 ). Arbitrase Dan Alternatif Penyelesaian Sengketa. </w:t>
      </w:r>
      <w:r w:rsidRPr="00AD413A">
        <w:rPr>
          <w:rFonts w:ascii="Cambria" w:hAnsi="Cambria" w:cstheme="majorHAnsi"/>
          <w:i/>
          <w:iCs/>
        </w:rPr>
        <w:t>KPKNL MANADO</w:t>
      </w:r>
      <w:r w:rsidRPr="00AD413A">
        <w:rPr>
          <w:rFonts w:ascii="Cambria" w:hAnsi="Cambria" w:cstheme="majorHAnsi"/>
        </w:rPr>
        <w:t>.</w:t>
      </w:r>
    </w:p>
    <w:p w14:paraId="07EA55FC"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 xml:space="preserve">Khotimah, C. A., &amp; Chairunnisa, J. C. (n.d.). PERLINDUNGAN HUKUM BAGI KONSUMEN DALAM TRANSAKSI JUAL BELI-ONLINE (E-COMMERCE). </w:t>
      </w:r>
      <w:r w:rsidRPr="00AD413A">
        <w:rPr>
          <w:rFonts w:ascii="Cambria" w:hAnsi="Cambria" w:cstheme="majorHAnsi"/>
          <w:i/>
          <w:iCs/>
        </w:rPr>
        <w:t>BUSINESS LAW</w:t>
      </w:r>
      <w:r w:rsidRPr="00AD413A">
        <w:rPr>
          <w:rFonts w:ascii="Cambria" w:hAnsi="Cambria" w:cstheme="majorHAnsi"/>
        </w:rPr>
        <w:t>.</w:t>
      </w:r>
    </w:p>
    <w:p w14:paraId="43F16AE8"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 xml:space="preserve">Nasution, A. (1995). </w:t>
      </w:r>
      <w:r w:rsidRPr="00AD413A">
        <w:rPr>
          <w:rFonts w:ascii="Cambria" w:hAnsi="Cambria" w:cstheme="majorHAnsi"/>
          <w:i/>
          <w:iCs/>
        </w:rPr>
        <w:t>“Konsumen dan Hukum”.</w:t>
      </w:r>
      <w:r w:rsidRPr="00AD413A">
        <w:rPr>
          <w:rFonts w:ascii="Cambria" w:hAnsi="Cambria" w:cstheme="majorHAnsi"/>
        </w:rPr>
        <w:t xml:space="preserve"> Jakarta: Pustaka Sinar Harapan.</w:t>
      </w:r>
    </w:p>
    <w:p w14:paraId="1F9F0F44"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Pasya, A. A., &amp; Harefa, D. H. (n.d.). hukum perdata internasional.</w:t>
      </w:r>
    </w:p>
    <w:p w14:paraId="34195408"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 xml:space="preserve">Roihanah, L. (n.d.). WANPRESTASI DAN PENYELESAIAN SENGKETA TRANSAKSI PERDAGANGAN MELALUI INTERNET BUSINESS TO CONSUMER (B2C). </w:t>
      </w:r>
      <w:r w:rsidRPr="00AD413A">
        <w:rPr>
          <w:rFonts w:ascii="Cambria" w:hAnsi="Cambria" w:cstheme="majorHAnsi"/>
          <w:i/>
          <w:iCs/>
        </w:rPr>
        <w:t>tesis</w:t>
      </w:r>
      <w:r w:rsidRPr="00AD413A">
        <w:rPr>
          <w:rFonts w:ascii="Cambria" w:hAnsi="Cambria" w:cstheme="majorHAnsi"/>
        </w:rPr>
        <w:t>.</w:t>
      </w:r>
    </w:p>
    <w:p w14:paraId="4AB996D0"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 xml:space="preserve">S.Gazali, D., &amp; Usman, R. (2012). </w:t>
      </w:r>
      <w:r w:rsidRPr="00AD413A">
        <w:rPr>
          <w:rFonts w:ascii="Cambria" w:hAnsi="Cambria" w:cstheme="majorHAnsi"/>
          <w:i/>
          <w:iCs/>
        </w:rPr>
        <w:t>Hukum Perbankan.</w:t>
      </w:r>
      <w:r w:rsidRPr="00AD413A">
        <w:rPr>
          <w:rFonts w:ascii="Cambria" w:hAnsi="Cambria" w:cstheme="majorHAnsi"/>
        </w:rPr>
        <w:t xml:space="preserve"> Jakarta: Sinar Grafika.</w:t>
      </w:r>
    </w:p>
    <w:p w14:paraId="4CDB9695"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 xml:space="preserve">Salami, R. U., &amp; Bintoro, R. W. (2013). ALETRNATIF PENYELESAIAN SENGKETA DALAM SENGKETA TRANSAKSI ELEKTRONIK (E-COMMERCE). </w:t>
      </w:r>
      <w:r w:rsidRPr="00AD413A">
        <w:rPr>
          <w:rFonts w:ascii="Cambria" w:hAnsi="Cambria" w:cstheme="majorHAnsi"/>
          <w:i/>
          <w:iCs/>
        </w:rPr>
        <w:t>Jurnal Dinamika Hukum</w:t>
      </w:r>
      <w:r w:rsidRPr="00AD413A">
        <w:rPr>
          <w:rFonts w:ascii="Cambria" w:hAnsi="Cambria" w:cstheme="majorHAnsi"/>
        </w:rPr>
        <w:t>.</w:t>
      </w:r>
    </w:p>
    <w:p w14:paraId="1F2CB6FC" w14:textId="77777777" w:rsidR="00D76B2E" w:rsidRPr="00AD413A" w:rsidRDefault="00D76B2E" w:rsidP="00D76B2E">
      <w:pPr>
        <w:pStyle w:val="Bibliography"/>
        <w:spacing w:line="240" w:lineRule="auto"/>
        <w:ind w:left="720" w:hanging="720"/>
        <w:jc w:val="both"/>
        <w:rPr>
          <w:rFonts w:ascii="Cambria" w:hAnsi="Cambria" w:cstheme="majorHAnsi"/>
        </w:rPr>
      </w:pPr>
      <w:r w:rsidRPr="00AD413A">
        <w:rPr>
          <w:rFonts w:ascii="Cambria" w:hAnsi="Cambria" w:cstheme="majorHAnsi"/>
        </w:rPr>
        <w:t>Sitompul, M. G., Syaifuddin, M., &amp; Yahanan, A. (2016). Online Dispute Resolution (ODR): Prospek Penyelesaian Sengketa E-Commerce di Indonesia.</w:t>
      </w:r>
    </w:p>
    <w:p w14:paraId="32AF227F" w14:textId="1174A7C2" w:rsidR="00D76B2E" w:rsidRPr="00D76B2E" w:rsidRDefault="00D76B2E" w:rsidP="00D76B2E">
      <w:pPr>
        <w:jc w:val="both"/>
      </w:pPr>
      <w:r w:rsidRPr="00AD413A">
        <w:rPr>
          <w:rFonts w:ascii="Cambria" w:hAnsi="Cambria" w:cstheme="majorHAnsi"/>
        </w:rPr>
        <w:t xml:space="preserve">Subekti, R. P. (2000). </w:t>
      </w:r>
      <w:r w:rsidRPr="00AD413A">
        <w:rPr>
          <w:rFonts w:ascii="Cambria" w:hAnsi="Cambria" w:cstheme="majorHAnsi"/>
          <w:i/>
          <w:iCs/>
        </w:rPr>
        <w:t>“Hukum Perjanjian”.</w:t>
      </w:r>
      <w:r w:rsidRPr="00AD413A">
        <w:rPr>
          <w:rFonts w:ascii="Cambria" w:hAnsi="Cambria" w:cstheme="majorHAnsi"/>
        </w:rPr>
        <w:t xml:space="preserve"> Jakarta: PT Intermasa.</w:t>
      </w:r>
    </w:p>
    <w:sdt>
      <w:sdtPr>
        <w:rPr>
          <w:rFonts w:cs="Calibri"/>
          <w:sz w:val="22"/>
          <w:szCs w:val="22"/>
        </w:rPr>
        <w:id w:val="111145805"/>
        <w:bibliography/>
      </w:sdtPr>
      <w:sdtEndPr>
        <w:rPr>
          <w:rFonts w:eastAsia="Calibri"/>
          <w:b w:val="0"/>
          <w:bCs w:val="0"/>
          <w:color w:val="auto"/>
        </w:rPr>
      </w:sdtEndPr>
      <w:sdtContent>
        <w:sdt>
          <w:sdtPr>
            <w:rPr>
              <w:rFonts w:ascii="Calibri" w:eastAsia="Calibri" w:hAnsi="Calibri" w:cs="Calibri"/>
              <w:b w:val="0"/>
              <w:bCs w:val="0"/>
              <w:color w:val="auto"/>
              <w:sz w:val="22"/>
              <w:szCs w:val="22"/>
            </w:rPr>
            <w:id w:val="516660975"/>
            <w:docPartObj>
              <w:docPartGallery w:val="Bibliographies"/>
              <w:docPartUnique/>
            </w:docPartObj>
          </w:sdtPr>
          <w:sdtEndPr>
            <w:rPr>
              <w:rFonts w:asciiTheme="majorHAnsi" w:hAnsiTheme="majorHAnsi"/>
            </w:rPr>
          </w:sdtEndPr>
          <w:sdtContent>
            <w:p w14:paraId="3FDE0520" w14:textId="36E965DC" w:rsidR="00D76B2E" w:rsidRPr="008A369E" w:rsidRDefault="00D76B2E" w:rsidP="00D76B2E">
              <w:pPr>
                <w:pStyle w:val="Heading1"/>
                <w:jc w:val="left"/>
                <w:rPr>
                  <w:sz w:val="22"/>
                  <w:szCs w:val="22"/>
                </w:rPr>
              </w:pPr>
            </w:p>
            <w:p w14:paraId="5CE922DE" w14:textId="3BC1FD73" w:rsidR="008A369E" w:rsidRPr="008A369E" w:rsidRDefault="008A369E" w:rsidP="008A369E">
              <w:pPr>
                <w:pStyle w:val="FootnoteText"/>
                <w:ind w:left="720" w:hanging="720"/>
                <w:jc w:val="both"/>
                <w:rPr>
                  <w:rFonts w:asciiTheme="majorHAnsi" w:hAnsiTheme="majorHAnsi"/>
                  <w:sz w:val="22"/>
                  <w:szCs w:val="22"/>
                </w:rPr>
              </w:pPr>
            </w:p>
            <w:p w14:paraId="43776E99" w14:textId="1C25057A" w:rsidR="00E76AAB" w:rsidRPr="00C055AB" w:rsidRDefault="00372A58" w:rsidP="00C055AB">
              <w:pPr>
                <w:pStyle w:val="Bibliography"/>
                <w:ind w:left="720" w:hanging="720"/>
              </w:pPr>
            </w:p>
          </w:sdtContent>
        </w:sdt>
      </w:sdtContent>
    </w:sdt>
    <w:p w14:paraId="0106E565" w14:textId="009B1063" w:rsidR="00B72EB0" w:rsidRDefault="00B72EB0" w:rsidP="00B72EB0"/>
    <w:p w14:paraId="57D05E63" w14:textId="77777777" w:rsidR="00B72EB0" w:rsidRPr="00B72EB0" w:rsidRDefault="00B72EB0" w:rsidP="00B72EB0"/>
    <w:p w14:paraId="101B116A" w14:textId="77777777" w:rsidR="00D87A0D" w:rsidRDefault="00D87A0D">
      <w:pPr>
        <w:sectPr w:rsidR="00D87A0D">
          <w:type w:val="continuous"/>
          <w:pgSz w:w="11907" w:h="16840"/>
          <w:pgMar w:top="1418" w:right="1406" w:bottom="1418" w:left="1418" w:header="567" w:footer="510" w:gutter="0"/>
          <w:cols w:space="720"/>
        </w:sectPr>
      </w:pPr>
    </w:p>
    <w:p w14:paraId="7977D93C" w14:textId="68FD1949" w:rsidR="00D87A0D" w:rsidRDefault="00D87A0D">
      <w:pPr>
        <w:spacing w:line="240" w:lineRule="auto"/>
        <w:jc w:val="both"/>
        <w:rPr>
          <w:rFonts w:ascii="Cambria" w:eastAsia="Cambria" w:hAnsi="Cambria" w:cs="Cambria"/>
          <w:sz w:val="24"/>
          <w:szCs w:val="24"/>
        </w:rPr>
      </w:pPr>
    </w:p>
    <w:p w14:paraId="50BFE248" w14:textId="652CACD9" w:rsidR="0075374F" w:rsidRDefault="0075374F">
      <w:pPr>
        <w:spacing w:line="240" w:lineRule="auto"/>
        <w:jc w:val="both"/>
        <w:rPr>
          <w:rFonts w:ascii="Cambria" w:eastAsia="Cambria" w:hAnsi="Cambria" w:cs="Cambria"/>
          <w:sz w:val="24"/>
          <w:szCs w:val="24"/>
        </w:rPr>
      </w:pPr>
    </w:p>
    <w:sectPr w:rsidR="0075374F">
      <w:type w:val="continuous"/>
      <w:pgSz w:w="11907" w:h="16840"/>
      <w:pgMar w:top="1418" w:right="1406" w:bottom="1418" w:left="1418" w:header="567" w:footer="510" w:gutter="0"/>
      <w:cols w:num="2" w:space="720" w:equalWidth="0">
        <w:col w:w="4399" w:space="284"/>
        <w:col w:w="439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307F7" w14:textId="77777777" w:rsidR="00372A58" w:rsidRDefault="00372A58">
      <w:pPr>
        <w:spacing w:line="240" w:lineRule="auto"/>
      </w:pPr>
      <w:r>
        <w:separator/>
      </w:r>
    </w:p>
  </w:endnote>
  <w:endnote w:type="continuationSeparator" w:id="0">
    <w:p w14:paraId="00C60382" w14:textId="77777777" w:rsidR="00372A58" w:rsidRDefault="0037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A2B0" w14:textId="77777777" w:rsidR="00D87A0D" w:rsidRDefault="00773C73">
    <w:pPr>
      <w:pBdr>
        <w:top w:val="nil"/>
        <w:left w:val="nil"/>
        <w:bottom w:val="nil"/>
        <w:right w:val="nil"/>
        <w:between w:val="nil"/>
      </w:pBdr>
      <w:tabs>
        <w:tab w:val="center" w:pos="4680"/>
        <w:tab w:val="right" w:pos="9360"/>
      </w:tabs>
      <w:spacing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12173B">
      <w:rPr>
        <w:rFonts w:ascii="Cambria" w:eastAsia="Cambria" w:hAnsi="Cambria" w:cs="Cambria"/>
        <w:color w:val="000000"/>
      </w:rPr>
      <w:t>2</w:t>
    </w:r>
    <w:r>
      <w:rPr>
        <w:rFonts w:ascii="Cambria" w:eastAsia="Cambria" w:hAnsi="Cambria" w:cs="Cambria"/>
        <w:color w:val="000000"/>
      </w:rPr>
      <w:fldChar w:fldCharType="end"/>
    </w:r>
  </w:p>
  <w:p w14:paraId="2D050F6F" w14:textId="77777777" w:rsidR="00D87A0D" w:rsidRDefault="00D87A0D">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3FA9" w14:textId="77777777" w:rsidR="00D87A0D" w:rsidRDefault="00D87A0D">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BA69" w14:textId="77777777" w:rsidR="00372A58" w:rsidRDefault="00372A58">
      <w:pPr>
        <w:spacing w:line="240" w:lineRule="auto"/>
      </w:pPr>
      <w:r>
        <w:separator/>
      </w:r>
    </w:p>
  </w:footnote>
  <w:footnote w:type="continuationSeparator" w:id="0">
    <w:p w14:paraId="4028E797" w14:textId="77777777" w:rsidR="00372A58" w:rsidRDefault="00372A58">
      <w:pPr>
        <w:spacing w:line="240" w:lineRule="auto"/>
      </w:pPr>
      <w:r>
        <w:continuationSeparator/>
      </w:r>
    </w:p>
  </w:footnote>
  <w:footnote w:id="1">
    <w:p w14:paraId="2A90C233" w14:textId="77777777" w:rsidR="00D76B2E" w:rsidRPr="00CD31C5" w:rsidRDefault="00D76B2E" w:rsidP="00D76B2E">
      <w:pPr>
        <w:pStyle w:val="FootnoteText"/>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95A8" w14:textId="77777777" w:rsidR="00D87A0D" w:rsidRDefault="00D87A0D">
    <w:pPr>
      <w:widowControl w:val="0"/>
      <w:pBdr>
        <w:top w:val="nil"/>
        <w:left w:val="nil"/>
        <w:bottom w:val="nil"/>
        <w:right w:val="nil"/>
        <w:between w:val="nil"/>
      </w:pBdr>
      <w:spacing w:line="276" w:lineRule="auto"/>
      <w:rPr>
        <w:rFonts w:ascii="Cambria" w:eastAsia="Cambria" w:hAnsi="Cambria" w:cs="Cambria"/>
        <w:color w:val="000000"/>
      </w:rPr>
    </w:pPr>
  </w:p>
  <w:p w14:paraId="2749CF03" w14:textId="77777777" w:rsidR="00FE385C" w:rsidRDefault="00FE385C" w:rsidP="00FE385C">
    <w:pPr>
      <w:pStyle w:val="Header"/>
      <w:jc w:val="right"/>
      <w:rPr>
        <w:rFonts w:asciiTheme="majorHAnsi" w:hAnsiTheme="majorHAnsi"/>
        <w:lang w:val="en-US"/>
      </w:rPr>
    </w:pPr>
    <w:r w:rsidRPr="00C54E2C">
      <w:rPr>
        <w:rFonts w:asciiTheme="majorHAnsi" w:hAnsiTheme="majorHAnsi"/>
        <w:lang w:val="en-ID"/>
      </w:rPr>
      <w:t>Vol.</w:t>
    </w:r>
    <w:r>
      <w:rPr>
        <w:rFonts w:asciiTheme="majorHAnsi" w:hAnsiTheme="majorHAnsi"/>
        <w:lang w:val="en-ID"/>
      </w:rPr>
      <w:t xml:space="preserve">1 </w:t>
    </w:r>
    <w:r w:rsidRPr="00C54E2C">
      <w:rPr>
        <w:rFonts w:asciiTheme="majorHAnsi" w:hAnsiTheme="majorHAnsi"/>
        <w:lang w:val="en-ID"/>
      </w:rPr>
      <w:t>No</w:t>
    </w:r>
    <w:r>
      <w:rPr>
        <w:rFonts w:asciiTheme="majorHAnsi" w:hAnsiTheme="majorHAnsi"/>
        <w:lang w:val="en-ID"/>
      </w:rPr>
      <w:t xml:space="preserve"> 3</w:t>
    </w:r>
    <w:r w:rsidRPr="00C54E2C">
      <w:rPr>
        <w:rFonts w:asciiTheme="majorHAnsi" w:hAnsiTheme="majorHAnsi"/>
        <w:lang w:val="en-ID"/>
      </w:rPr>
      <w:t>, 202</w:t>
    </w:r>
    <w:r>
      <w:rPr>
        <w:rFonts w:asciiTheme="majorHAnsi" w:hAnsiTheme="majorHAnsi"/>
        <w:lang w:val="en-US"/>
      </w:rPr>
      <w:t>3</w:t>
    </w:r>
  </w:p>
  <w:p w14:paraId="55977AE8" w14:textId="77777777" w:rsidR="00FE385C" w:rsidRDefault="00FE385C" w:rsidP="00FE385C">
    <w:pPr>
      <w:widowControl w:val="0"/>
      <w:pBdr>
        <w:top w:val="nil"/>
        <w:left w:val="nil"/>
        <w:bottom w:val="nil"/>
        <w:right w:val="nil"/>
        <w:between w:val="nil"/>
      </w:pBdr>
      <w:spacing w:line="276" w:lineRule="auto"/>
      <w:jc w:val="right"/>
      <w:rPr>
        <w:rFonts w:ascii="Cambria" w:eastAsia="Cambria" w:hAnsi="Cambria" w:cs="Cambria"/>
        <w:color w:val="000000"/>
      </w:rPr>
    </w:pPr>
    <w:r>
      <w:rPr>
        <w:rFonts w:asciiTheme="majorHAnsi" w:hAnsiTheme="majorHAnsi"/>
      </w:rPr>
      <w:t xml:space="preserve">ISSN </w:t>
    </w:r>
    <w:r w:rsidRPr="00945925">
      <w:rPr>
        <w:rFonts w:asciiTheme="majorHAnsi" w:hAnsiTheme="majorHAnsi"/>
      </w:rPr>
      <w:t>3025-7514</w:t>
    </w:r>
  </w:p>
  <w:p w14:paraId="31B5A91D" w14:textId="77777777" w:rsidR="00D87A0D" w:rsidRDefault="00D87A0D">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EABB" w14:textId="23DF12F8" w:rsidR="00D87A0D" w:rsidRDefault="00D87A0D">
    <w:pPr>
      <w:pBdr>
        <w:top w:val="nil"/>
        <w:left w:val="nil"/>
        <w:bottom w:val="nil"/>
        <w:right w:val="nil"/>
        <w:between w:val="nil"/>
      </w:pBdr>
      <w:tabs>
        <w:tab w:val="center" w:pos="4680"/>
        <w:tab w:val="right" w:pos="9360"/>
      </w:tabs>
      <w:spacing w:line="240" w:lineRule="auto"/>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3D7"/>
    <w:multiLevelType w:val="hybridMultilevel"/>
    <w:tmpl w:val="B3FC827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06994228"/>
    <w:multiLevelType w:val="hybridMultilevel"/>
    <w:tmpl w:val="B7F0F8AA"/>
    <w:lvl w:ilvl="0" w:tplc="427A99A4">
      <w:start w:val="1"/>
      <w:numFmt w:val="decimal"/>
      <w:lvlText w:val="%1."/>
      <w:lvlJc w:val="left"/>
      <w:pPr>
        <w:ind w:left="720" w:hanging="360"/>
      </w:pPr>
      <w:rPr>
        <w:rFonts w:cs="Arial"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B533B8"/>
    <w:multiLevelType w:val="multilevel"/>
    <w:tmpl w:val="B518F0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A075F"/>
    <w:multiLevelType w:val="hybridMultilevel"/>
    <w:tmpl w:val="DAFC8068"/>
    <w:lvl w:ilvl="0" w:tplc="9DB260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03175A"/>
    <w:multiLevelType w:val="hybridMultilevel"/>
    <w:tmpl w:val="62188EE6"/>
    <w:lvl w:ilvl="0" w:tplc="38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8AD5891"/>
    <w:multiLevelType w:val="hybridMultilevel"/>
    <w:tmpl w:val="7CB6E586"/>
    <w:lvl w:ilvl="0" w:tplc="9FA2A946">
      <w:start w:val="1"/>
      <w:numFmt w:val="decimal"/>
      <w:lvlText w:val="%1."/>
      <w:lvlJc w:val="left"/>
      <w:pPr>
        <w:ind w:left="1080" w:hanging="360"/>
      </w:pPr>
      <w:rPr>
        <w:rFonts w:cs="Arial"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9337190"/>
    <w:multiLevelType w:val="multilevel"/>
    <w:tmpl w:val="FB2C5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CCC7BB2"/>
    <w:multiLevelType w:val="multilevel"/>
    <w:tmpl w:val="3E0CA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12F34"/>
    <w:multiLevelType w:val="hybridMultilevel"/>
    <w:tmpl w:val="5392691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AC27F97"/>
    <w:multiLevelType w:val="multilevel"/>
    <w:tmpl w:val="453EE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A2C46"/>
    <w:multiLevelType w:val="multilevel"/>
    <w:tmpl w:val="5A328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CB01F4"/>
    <w:multiLevelType w:val="multilevel"/>
    <w:tmpl w:val="53F07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6E5A5B"/>
    <w:multiLevelType w:val="multilevel"/>
    <w:tmpl w:val="5D26E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924EC2"/>
    <w:multiLevelType w:val="multilevel"/>
    <w:tmpl w:val="597C4F0A"/>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853FEE"/>
    <w:multiLevelType w:val="multilevel"/>
    <w:tmpl w:val="9B14D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F1CF0"/>
    <w:multiLevelType w:val="hybridMultilevel"/>
    <w:tmpl w:val="4C32AF22"/>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E291A"/>
    <w:multiLevelType w:val="hybridMultilevel"/>
    <w:tmpl w:val="BCC4555C"/>
    <w:lvl w:ilvl="0" w:tplc="F3E898A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51D06858"/>
    <w:multiLevelType w:val="multilevel"/>
    <w:tmpl w:val="8D8CC5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22A5627"/>
    <w:multiLevelType w:val="multilevel"/>
    <w:tmpl w:val="ADE0E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3032D"/>
    <w:multiLevelType w:val="multilevel"/>
    <w:tmpl w:val="EA3A3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C11D38"/>
    <w:multiLevelType w:val="hybridMultilevel"/>
    <w:tmpl w:val="746273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9FB4AB2"/>
    <w:multiLevelType w:val="hybridMultilevel"/>
    <w:tmpl w:val="F72AC5D4"/>
    <w:lvl w:ilvl="0" w:tplc="DE6678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60403E63"/>
    <w:multiLevelType w:val="multilevel"/>
    <w:tmpl w:val="4D228B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41155F"/>
    <w:multiLevelType w:val="hybridMultilevel"/>
    <w:tmpl w:val="FC0E3754"/>
    <w:lvl w:ilvl="0" w:tplc="28247214">
      <w:start w:val="1"/>
      <w:numFmt w:val="decimal"/>
      <w:lvlText w:val="%1."/>
      <w:lvlJc w:val="left"/>
      <w:pPr>
        <w:ind w:left="1080" w:hanging="360"/>
      </w:pPr>
      <w:rPr>
        <w:rFonts w:cs="Arial"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6A9F12F9"/>
    <w:multiLevelType w:val="multilevel"/>
    <w:tmpl w:val="FDA2E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02D18"/>
    <w:multiLevelType w:val="multilevel"/>
    <w:tmpl w:val="5016F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F50196"/>
    <w:multiLevelType w:val="hybridMultilevel"/>
    <w:tmpl w:val="02523F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num>
  <w:num w:numId="2">
    <w:abstractNumId w:val="10"/>
  </w:num>
  <w:num w:numId="3">
    <w:abstractNumId w:val="18"/>
    <w:lvlOverride w:ilvl="0">
      <w:lvl w:ilvl="0">
        <w:numFmt w:val="decimal"/>
        <w:lvlText w:val="%1."/>
        <w:lvlJc w:val="left"/>
      </w:lvl>
    </w:lvlOverride>
  </w:num>
  <w:num w:numId="4">
    <w:abstractNumId w:val="14"/>
    <w:lvlOverride w:ilvl="0">
      <w:lvl w:ilvl="0">
        <w:numFmt w:val="decimal"/>
        <w:lvlText w:val="%1."/>
        <w:lvlJc w:val="left"/>
      </w:lvl>
    </w:lvlOverride>
  </w:num>
  <w:num w:numId="5">
    <w:abstractNumId w:val="7"/>
    <w:lvlOverride w:ilvl="0">
      <w:lvl w:ilvl="0">
        <w:numFmt w:val="decimal"/>
        <w:lvlText w:val="%1."/>
        <w:lvlJc w:val="left"/>
      </w:lvl>
    </w:lvlOverride>
  </w:num>
  <w:num w:numId="6">
    <w:abstractNumId w:val="22"/>
    <w:lvlOverride w:ilvl="0">
      <w:lvl w:ilvl="0">
        <w:numFmt w:val="decimal"/>
        <w:lvlText w:val="%1."/>
        <w:lvlJc w:val="left"/>
      </w:lvl>
    </w:lvlOverride>
  </w:num>
  <w:num w:numId="7">
    <w:abstractNumId w:val="2"/>
    <w:lvlOverride w:ilvl="0">
      <w:lvl w:ilvl="0">
        <w:numFmt w:val="decimal"/>
        <w:lvlText w:val="%1."/>
        <w:lvlJc w:val="left"/>
      </w:lvl>
    </w:lvlOverride>
  </w:num>
  <w:num w:numId="8">
    <w:abstractNumId w:val="11"/>
  </w:num>
  <w:num w:numId="9">
    <w:abstractNumId w:val="24"/>
    <w:lvlOverride w:ilvl="0">
      <w:lvl w:ilvl="0">
        <w:numFmt w:val="decimal"/>
        <w:lvlText w:val="%1."/>
        <w:lvlJc w:val="left"/>
      </w:lvl>
    </w:lvlOverride>
  </w:num>
  <w:num w:numId="10">
    <w:abstractNumId w:val="25"/>
    <w:lvlOverride w:ilvl="0">
      <w:lvl w:ilvl="0">
        <w:numFmt w:val="decimal"/>
        <w:lvlText w:val="%1."/>
        <w:lvlJc w:val="left"/>
      </w:lvl>
    </w:lvlOverride>
  </w:num>
  <w:num w:numId="11">
    <w:abstractNumId w:val="19"/>
    <w:lvlOverride w:ilvl="0">
      <w:lvl w:ilvl="0">
        <w:numFmt w:val="decimal"/>
        <w:lvlText w:val="%1."/>
        <w:lvlJc w:val="left"/>
      </w:lvl>
    </w:lvlOverride>
  </w:num>
  <w:num w:numId="12">
    <w:abstractNumId w:val="1"/>
  </w:num>
  <w:num w:numId="13">
    <w:abstractNumId w:val="8"/>
  </w:num>
  <w:num w:numId="14">
    <w:abstractNumId w:val="16"/>
  </w:num>
  <w:num w:numId="15">
    <w:abstractNumId w:val="23"/>
  </w:num>
  <w:num w:numId="16">
    <w:abstractNumId w:val="5"/>
  </w:num>
  <w:num w:numId="17">
    <w:abstractNumId w:val="3"/>
  </w:num>
  <w:num w:numId="18">
    <w:abstractNumId w:val="21"/>
  </w:num>
  <w:num w:numId="19">
    <w:abstractNumId w:val="17"/>
  </w:num>
  <w:num w:numId="20">
    <w:abstractNumId w:val="9"/>
  </w:num>
  <w:num w:numId="21">
    <w:abstractNumId w:val="12"/>
  </w:num>
  <w:num w:numId="22">
    <w:abstractNumId w:val="6"/>
  </w:num>
  <w:num w:numId="23">
    <w:abstractNumId w:val="4"/>
  </w:num>
  <w:num w:numId="24">
    <w:abstractNumId w:val="15"/>
  </w:num>
  <w:num w:numId="25">
    <w:abstractNumId w:val="0"/>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0D"/>
    <w:rsid w:val="000140E1"/>
    <w:rsid w:val="00073878"/>
    <w:rsid w:val="000E160D"/>
    <w:rsid w:val="0012173B"/>
    <w:rsid w:val="00123DA9"/>
    <w:rsid w:val="00141E92"/>
    <w:rsid w:val="001673FF"/>
    <w:rsid w:val="001C2CDC"/>
    <w:rsid w:val="0025319D"/>
    <w:rsid w:val="002E3DFA"/>
    <w:rsid w:val="00372A58"/>
    <w:rsid w:val="00444AC3"/>
    <w:rsid w:val="0046187A"/>
    <w:rsid w:val="00471649"/>
    <w:rsid w:val="00484447"/>
    <w:rsid w:val="004A7713"/>
    <w:rsid w:val="00584BDC"/>
    <w:rsid w:val="005A5F3E"/>
    <w:rsid w:val="005C4789"/>
    <w:rsid w:val="006239D7"/>
    <w:rsid w:val="00675119"/>
    <w:rsid w:val="006D719F"/>
    <w:rsid w:val="00722978"/>
    <w:rsid w:val="00742933"/>
    <w:rsid w:val="00742BAE"/>
    <w:rsid w:val="0075374F"/>
    <w:rsid w:val="00773C73"/>
    <w:rsid w:val="007B64FE"/>
    <w:rsid w:val="007C6563"/>
    <w:rsid w:val="00823359"/>
    <w:rsid w:val="00827D82"/>
    <w:rsid w:val="008900BA"/>
    <w:rsid w:val="008A369E"/>
    <w:rsid w:val="008A4300"/>
    <w:rsid w:val="008B126B"/>
    <w:rsid w:val="008B4482"/>
    <w:rsid w:val="00911EF3"/>
    <w:rsid w:val="00951F0F"/>
    <w:rsid w:val="00975998"/>
    <w:rsid w:val="009A3502"/>
    <w:rsid w:val="00A2676F"/>
    <w:rsid w:val="00A41D0A"/>
    <w:rsid w:val="00A61DC9"/>
    <w:rsid w:val="00A75DE9"/>
    <w:rsid w:val="00AA5AFE"/>
    <w:rsid w:val="00B254E3"/>
    <w:rsid w:val="00B72EB0"/>
    <w:rsid w:val="00BE1B9E"/>
    <w:rsid w:val="00BE5675"/>
    <w:rsid w:val="00C017E9"/>
    <w:rsid w:val="00C055AB"/>
    <w:rsid w:val="00C138C8"/>
    <w:rsid w:val="00CA1B1A"/>
    <w:rsid w:val="00CD61FE"/>
    <w:rsid w:val="00D476DF"/>
    <w:rsid w:val="00D54C11"/>
    <w:rsid w:val="00D76B2E"/>
    <w:rsid w:val="00D87A0D"/>
    <w:rsid w:val="00DC14C4"/>
    <w:rsid w:val="00DD29AD"/>
    <w:rsid w:val="00DD6662"/>
    <w:rsid w:val="00E25E0A"/>
    <w:rsid w:val="00E76AAB"/>
    <w:rsid w:val="00E9571D"/>
    <w:rsid w:val="00ED04CB"/>
    <w:rsid w:val="00EF1C05"/>
    <w:rsid w:val="00F32D05"/>
    <w:rsid w:val="00F91974"/>
    <w:rsid w:val="00F94E4C"/>
    <w:rsid w:val="00FE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17B7"/>
  <w15:docId w15:val="{034D46D1-1F1A-408C-B93A-DCD8D7F2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aliases w:val="Nama Author"/>
    <w:basedOn w:val="Normal"/>
    <w:next w:val="Normal"/>
    <w:link w:val="Heading1Char"/>
    <w:uiPriority w:val="9"/>
    <w:qFormat/>
    <w:rsid w:val="009D0585"/>
    <w:pPr>
      <w:keepNext/>
      <w:keepLines/>
      <w:spacing w:line="240" w:lineRule="auto"/>
      <w:jc w:val="center"/>
      <w:outlineLvl w:val="0"/>
    </w:pPr>
    <w:rPr>
      <w:rFonts w:asciiTheme="majorHAnsi" w:eastAsiaTheme="majorEastAsia" w:hAnsiTheme="majorHAnsi" w:cstheme="majorBidi"/>
      <w:b/>
      <w:bCs/>
      <w:color w:val="000000" w:themeColor="text1"/>
      <w:sz w:val="24"/>
      <w:szCs w:val="28"/>
    </w:rPr>
  </w:style>
  <w:style w:type="paragraph" w:styleId="Heading2">
    <w:name w:val="heading 2"/>
    <w:aliases w:val="Isi"/>
    <w:basedOn w:val="Normal"/>
    <w:next w:val="Normal"/>
    <w:link w:val="Heading2Char"/>
    <w:uiPriority w:val="9"/>
    <w:unhideWhenUsed/>
    <w:qFormat/>
    <w:rsid w:val="00A50B0D"/>
    <w:pPr>
      <w:keepNext/>
      <w:spacing w:after="240" w:line="240" w:lineRule="auto"/>
      <w:jc w:val="both"/>
      <w:outlineLvl w:val="1"/>
    </w:pPr>
    <w:rPr>
      <w:rFonts w:asciiTheme="majorHAnsi" w:eastAsiaTheme="majorEastAsia" w:hAnsiTheme="majorHAnsi" w:cstheme="majorBidi"/>
      <w:bCs/>
      <w:color w:val="000000" w:themeColor="text1"/>
      <w:szCs w:val="26"/>
    </w:rPr>
  </w:style>
  <w:style w:type="paragraph" w:styleId="Heading3">
    <w:name w:val="heading 3"/>
    <w:aliases w:val="Subbab Judul"/>
    <w:basedOn w:val="Normal"/>
    <w:next w:val="Normal"/>
    <w:link w:val="Heading3Char"/>
    <w:uiPriority w:val="9"/>
    <w:unhideWhenUsed/>
    <w:qFormat/>
    <w:rsid w:val="00560147"/>
    <w:pPr>
      <w:keepNext/>
      <w:keepLines/>
      <w:spacing w:after="240" w:line="240" w:lineRule="auto"/>
      <w:outlineLvl w:val="2"/>
    </w:pPr>
    <w:rPr>
      <w:rFonts w:asciiTheme="majorHAnsi" w:eastAsiaTheme="majorEastAsia" w:hAnsiTheme="majorHAnsi" w:cstheme="majorBidi"/>
      <w:b/>
      <w:bCs/>
      <w:color w:val="000000" w:themeColor="text1"/>
      <w:sz w:val="28"/>
    </w:rPr>
  </w:style>
  <w:style w:type="paragraph" w:styleId="Heading4">
    <w:name w:val="heading 4"/>
    <w:aliases w:val="abstrak inggris"/>
    <w:basedOn w:val="Normal"/>
    <w:next w:val="Normal"/>
    <w:link w:val="Heading4Char"/>
    <w:uiPriority w:val="9"/>
    <w:unhideWhenUsed/>
    <w:qFormat/>
    <w:rsid w:val="00824D9B"/>
    <w:pPr>
      <w:keepNext/>
      <w:keepLines/>
      <w:spacing w:line="240" w:lineRule="auto"/>
      <w:jc w:val="both"/>
      <w:outlineLvl w:val="3"/>
    </w:pPr>
    <w:rPr>
      <w:rFonts w:asciiTheme="majorHAnsi" w:eastAsiaTheme="majorEastAsia" w:hAnsiTheme="majorHAnsi" w:cstheme="majorBidi"/>
      <w:bCs/>
      <w:i/>
      <w:iCs/>
      <w:color w:val="000000" w:themeColor="text1"/>
      <w:sz w:val="20"/>
    </w:rPr>
  </w:style>
  <w:style w:type="paragraph" w:styleId="Heading5">
    <w:name w:val="heading 5"/>
    <w:aliases w:val="Judul Abstrak ing"/>
    <w:basedOn w:val="Normal"/>
    <w:next w:val="Normal"/>
    <w:link w:val="Heading5Char"/>
    <w:uiPriority w:val="9"/>
    <w:unhideWhenUsed/>
    <w:qFormat/>
    <w:rsid w:val="00824D9B"/>
    <w:pPr>
      <w:keepNext/>
      <w:keepLines/>
      <w:spacing w:line="240" w:lineRule="auto"/>
      <w:outlineLvl w:val="4"/>
    </w:pPr>
    <w:rPr>
      <w:rFonts w:asciiTheme="majorHAnsi" w:eastAsiaTheme="majorEastAsia" w:hAnsiTheme="majorHAnsi" w:cstheme="majorBidi"/>
      <w:b/>
      <w:i/>
      <w:color w:val="000000" w:themeColor="text1"/>
    </w:rPr>
  </w:style>
  <w:style w:type="paragraph" w:styleId="Heading6">
    <w:name w:val="heading 6"/>
    <w:aliases w:val="Referensi"/>
    <w:basedOn w:val="Normal"/>
    <w:next w:val="Normal"/>
    <w:link w:val="Heading6Char"/>
    <w:uiPriority w:val="9"/>
    <w:unhideWhenUsed/>
    <w:qFormat/>
    <w:rsid w:val="00DD2892"/>
    <w:pPr>
      <w:keepNext/>
      <w:spacing w:after="120" w:line="240" w:lineRule="auto"/>
      <w:ind w:left="397" w:hanging="397"/>
      <w:jc w:val="both"/>
      <w:outlineLvl w:val="5"/>
    </w:pPr>
    <w:rPr>
      <w:rFonts w:asciiTheme="majorHAnsi" w:eastAsiaTheme="majorEastAsia" w:hAnsiTheme="majorHAnsi" w:cs="Arial"/>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ama Abstrak"/>
    <w:next w:val="NoSpacing"/>
    <w:link w:val="TitleChar"/>
    <w:uiPriority w:val="10"/>
    <w:qFormat/>
    <w:rsid w:val="00824D9B"/>
    <w:pPr>
      <w:spacing w:line="240" w:lineRule="auto"/>
      <w:contextualSpacing/>
    </w:pPr>
    <w:rPr>
      <w:rFonts w:asciiTheme="majorHAnsi" w:eastAsiaTheme="majorEastAsia" w:hAnsiTheme="majorHAnsi" w:cstheme="majorBidi"/>
      <w:b/>
      <w:noProof/>
      <w:color w:val="000000" w:themeColor="text1"/>
      <w:spacing w:val="5"/>
      <w:kern w:val="28"/>
      <w:szCs w:val="52"/>
    </w:rPr>
  </w:style>
  <w:style w:type="paragraph" w:styleId="Header">
    <w:name w:val="header"/>
    <w:basedOn w:val="Normal"/>
    <w:link w:val="HeaderChar"/>
    <w:unhideWhenUsed/>
    <w:rsid w:val="007B239D"/>
    <w:pPr>
      <w:tabs>
        <w:tab w:val="center" w:pos="4680"/>
        <w:tab w:val="right" w:pos="9360"/>
      </w:tabs>
      <w:spacing w:line="240" w:lineRule="auto"/>
    </w:pPr>
  </w:style>
  <w:style w:type="character" w:customStyle="1" w:styleId="HeaderChar">
    <w:name w:val="Header Char"/>
    <w:basedOn w:val="DefaultParagraphFont"/>
    <w:link w:val="Header"/>
    <w:rsid w:val="007B239D"/>
    <w:rPr>
      <w:noProof/>
      <w:lang w:val="id-ID"/>
    </w:rPr>
  </w:style>
  <w:style w:type="paragraph" w:styleId="Footer">
    <w:name w:val="footer"/>
    <w:basedOn w:val="Normal"/>
    <w:link w:val="FooterChar"/>
    <w:uiPriority w:val="99"/>
    <w:unhideWhenUsed/>
    <w:rsid w:val="007B239D"/>
    <w:pPr>
      <w:tabs>
        <w:tab w:val="center" w:pos="4680"/>
        <w:tab w:val="right" w:pos="9360"/>
      </w:tabs>
      <w:spacing w:line="240" w:lineRule="auto"/>
    </w:pPr>
  </w:style>
  <w:style w:type="character" w:customStyle="1" w:styleId="FooterChar">
    <w:name w:val="Footer Char"/>
    <w:basedOn w:val="DefaultParagraphFont"/>
    <w:link w:val="Footer"/>
    <w:uiPriority w:val="99"/>
    <w:rsid w:val="007B239D"/>
    <w:rPr>
      <w:noProof/>
      <w:lang w:val="id-ID"/>
    </w:rPr>
  </w:style>
  <w:style w:type="character" w:styleId="Hyperlink">
    <w:name w:val="Hyperlink"/>
    <w:basedOn w:val="DefaultParagraphFont"/>
    <w:uiPriority w:val="99"/>
    <w:unhideWhenUsed/>
    <w:rsid w:val="007B239D"/>
    <w:rPr>
      <w:color w:val="0000FF"/>
      <w:u w:val="single"/>
    </w:rPr>
  </w:style>
  <w:style w:type="table" w:styleId="TableGrid">
    <w:name w:val="Table Grid"/>
    <w:basedOn w:val="TableNormal"/>
    <w:uiPriority w:val="59"/>
    <w:rsid w:val="007B2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Judul"/>
    <w:autoRedefine/>
    <w:uiPriority w:val="1"/>
    <w:qFormat/>
    <w:rsid w:val="001377A9"/>
    <w:pPr>
      <w:spacing w:after="120" w:line="240" w:lineRule="auto"/>
      <w:jc w:val="center"/>
    </w:pPr>
    <w:rPr>
      <w:rFonts w:asciiTheme="majorHAnsi" w:eastAsiaTheme="majorEastAsia" w:hAnsiTheme="majorHAnsi" w:cstheme="majorBidi"/>
      <w:b/>
      <w:noProof/>
      <w:color w:val="000000" w:themeColor="text1"/>
      <w:spacing w:val="5"/>
      <w:kern w:val="28"/>
      <w:sz w:val="28"/>
      <w:szCs w:val="52"/>
      <w:lang w:val="id-ID"/>
    </w:rPr>
  </w:style>
  <w:style w:type="character" w:customStyle="1" w:styleId="Heading1Char">
    <w:name w:val="Heading 1 Char"/>
    <w:aliases w:val="Nama Author Char"/>
    <w:basedOn w:val="DefaultParagraphFont"/>
    <w:link w:val="Heading1"/>
    <w:uiPriority w:val="9"/>
    <w:rsid w:val="009D0585"/>
    <w:rPr>
      <w:rFonts w:asciiTheme="majorHAnsi" w:eastAsiaTheme="majorEastAsia" w:hAnsiTheme="majorHAnsi" w:cstheme="majorBidi"/>
      <w:b/>
      <w:bCs/>
      <w:noProof/>
      <w:color w:val="000000" w:themeColor="text1"/>
      <w:sz w:val="24"/>
      <w:szCs w:val="28"/>
      <w:lang w:val="id-ID"/>
    </w:rPr>
  </w:style>
  <w:style w:type="character" w:customStyle="1" w:styleId="TitleChar">
    <w:name w:val="Title Char"/>
    <w:aliases w:val="Nama Abstrak Char"/>
    <w:basedOn w:val="DefaultParagraphFont"/>
    <w:link w:val="Title"/>
    <w:uiPriority w:val="10"/>
    <w:rsid w:val="00824D9B"/>
    <w:rPr>
      <w:rFonts w:asciiTheme="majorHAnsi" w:eastAsiaTheme="majorEastAsia" w:hAnsiTheme="majorHAnsi" w:cstheme="majorBidi"/>
      <w:b/>
      <w:noProof/>
      <w:color w:val="000000" w:themeColor="text1"/>
      <w:spacing w:val="5"/>
      <w:kern w:val="28"/>
      <w:szCs w:val="52"/>
      <w:lang w:val="en-ID"/>
    </w:rPr>
  </w:style>
  <w:style w:type="paragraph" w:styleId="NormalWeb">
    <w:name w:val="Normal (Web)"/>
    <w:basedOn w:val="Normal"/>
    <w:uiPriority w:val="99"/>
    <w:unhideWhenUsed/>
    <w:rsid w:val="00961374"/>
    <w:pPr>
      <w:spacing w:before="100" w:beforeAutospacing="1" w:after="119" w:line="240" w:lineRule="auto"/>
    </w:pPr>
    <w:rPr>
      <w:rFonts w:ascii="Times New Roman" w:eastAsia="Times New Roman" w:hAnsi="Times New Roman" w:cs="Times New Roman"/>
      <w:noProof w:val="0"/>
      <w:sz w:val="24"/>
      <w:szCs w:val="24"/>
      <w:lang w:eastAsia="id-ID"/>
    </w:rPr>
  </w:style>
  <w:style w:type="paragraph" w:styleId="Subtitle">
    <w:name w:val="Subtitle"/>
    <w:basedOn w:val="Normal"/>
    <w:next w:val="Normal"/>
    <w:link w:val="SubtitleChar"/>
    <w:uiPriority w:val="11"/>
    <w:qFormat/>
    <w:pPr>
      <w:keepNext/>
      <w:keepLines/>
      <w:spacing w:line="240" w:lineRule="auto"/>
      <w:jc w:val="both"/>
    </w:pPr>
    <w:rPr>
      <w:rFonts w:ascii="Cambria" w:eastAsia="Cambria" w:hAnsi="Cambria" w:cs="Cambria"/>
      <w:color w:val="000000"/>
      <w:sz w:val="20"/>
      <w:szCs w:val="20"/>
    </w:rPr>
  </w:style>
  <w:style w:type="character" w:customStyle="1" w:styleId="SubtitleChar">
    <w:name w:val="Subtitle Char"/>
    <w:basedOn w:val="DefaultParagraphFont"/>
    <w:link w:val="Subtitle"/>
    <w:uiPriority w:val="11"/>
    <w:rsid w:val="00824D9B"/>
    <w:rPr>
      <w:rFonts w:ascii="Cambria" w:eastAsiaTheme="majorEastAsia" w:hAnsi="Cambria" w:cstheme="majorBidi"/>
      <w:bCs/>
      <w:iCs/>
      <w:noProof/>
      <w:color w:val="000000" w:themeColor="text1"/>
      <w:sz w:val="20"/>
      <w:szCs w:val="24"/>
      <w:lang w:val="en-ID"/>
    </w:rPr>
  </w:style>
  <w:style w:type="character" w:styleId="SubtleEmphasis">
    <w:name w:val="Subtle Emphasis"/>
    <w:aliases w:val="Judul Subbab"/>
    <w:basedOn w:val="TitleChar"/>
    <w:uiPriority w:val="19"/>
    <w:rsid w:val="00941E84"/>
    <w:rPr>
      <w:rFonts w:ascii="Cambria" w:eastAsiaTheme="majorEastAsia" w:hAnsi="Cambria" w:cstheme="majorBidi"/>
      <w:b/>
      <w:i w:val="0"/>
      <w:iCs/>
      <w:noProof/>
      <w:color w:val="auto"/>
      <w:spacing w:val="5"/>
      <w:kern w:val="28"/>
      <w:sz w:val="28"/>
      <w:szCs w:val="52"/>
      <w:lang w:val="en-ID"/>
    </w:rPr>
  </w:style>
  <w:style w:type="paragraph" w:customStyle="1" w:styleId="western">
    <w:name w:val="western"/>
    <w:basedOn w:val="Normal"/>
    <w:rsid w:val="007E6E17"/>
    <w:pPr>
      <w:spacing w:before="100" w:beforeAutospacing="1" w:after="119" w:line="240" w:lineRule="auto"/>
    </w:pPr>
    <w:rPr>
      <w:rFonts w:ascii="Times New Roman" w:eastAsia="Times New Roman" w:hAnsi="Times New Roman" w:cs="Times New Roman"/>
      <w:noProof w:val="0"/>
      <w:sz w:val="24"/>
      <w:szCs w:val="24"/>
      <w:lang w:eastAsia="id-ID"/>
    </w:rPr>
  </w:style>
  <w:style w:type="character" w:styleId="Emphasis">
    <w:name w:val="Emphasis"/>
    <w:basedOn w:val="DefaultParagraphFont"/>
    <w:uiPriority w:val="20"/>
    <w:qFormat/>
    <w:rsid w:val="005A65D1"/>
    <w:rPr>
      <w:rFonts w:asciiTheme="majorHAnsi" w:hAnsiTheme="majorHAnsi"/>
      <w:i w:val="0"/>
      <w:iCs/>
      <w:sz w:val="24"/>
    </w:rPr>
  </w:style>
  <w:style w:type="character" w:customStyle="1" w:styleId="Heading2Char">
    <w:name w:val="Heading 2 Char"/>
    <w:aliases w:val="Isi Char"/>
    <w:basedOn w:val="DefaultParagraphFont"/>
    <w:link w:val="Heading2"/>
    <w:uiPriority w:val="9"/>
    <w:rsid w:val="00A50B0D"/>
    <w:rPr>
      <w:rFonts w:asciiTheme="majorHAnsi" w:eastAsiaTheme="majorEastAsia" w:hAnsiTheme="majorHAnsi" w:cstheme="majorBidi"/>
      <w:bCs/>
      <w:noProof/>
      <w:color w:val="000000" w:themeColor="text1"/>
      <w:szCs w:val="26"/>
      <w:lang w:val="id-ID"/>
    </w:rPr>
  </w:style>
  <w:style w:type="character" w:customStyle="1" w:styleId="Heading3Char">
    <w:name w:val="Heading 3 Char"/>
    <w:aliases w:val="Subbab Judul Char"/>
    <w:basedOn w:val="DefaultParagraphFont"/>
    <w:link w:val="Heading3"/>
    <w:uiPriority w:val="9"/>
    <w:rsid w:val="00560147"/>
    <w:rPr>
      <w:rFonts w:asciiTheme="majorHAnsi" w:eastAsiaTheme="majorEastAsia" w:hAnsiTheme="majorHAnsi" w:cstheme="majorBidi"/>
      <w:b/>
      <w:bCs/>
      <w:noProof/>
      <w:color w:val="000000" w:themeColor="text1"/>
      <w:sz w:val="28"/>
      <w:lang w:val="id-ID"/>
    </w:rPr>
  </w:style>
  <w:style w:type="character" w:customStyle="1" w:styleId="Heading4Char">
    <w:name w:val="Heading 4 Char"/>
    <w:aliases w:val="abstrak inggris Char"/>
    <w:basedOn w:val="DefaultParagraphFont"/>
    <w:link w:val="Heading4"/>
    <w:uiPriority w:val="9"/>
    <w:rsid w:val="00824D9B"/>
    <w:rPr>
      <w:rFonts w:asciiTheme="majorHAnsi" w:eastAsiaTheme="majorEastAsia" w:hAnsiTheme="majorHAnsi" w:cstheme="majorBidi"/>
      <w:bCs/>
      <w:i/>
      <w:iCs/>
      <w:noProof/>
      <w:color w:val="000000" w:themeColor="text1"/>
      <w:sz w:val="20"/>
      <w:lang w:val="id-ID"/>
    </w:rPr>
  </w:style>
  <w:style w:type="character" w:customStyle="1" w:styleId="Heading5Char">
    <w:name w:val="Heading 5 Char"/>
    <w:aliases w:val="Judul Abstrak ing Char"/>
    <w:basedOn w:val="DefaultParagraphFont"/>
    <w:link w:val="Heading5"/>
    <w:uiPriority w:val="9"/>
    <w:rsid w:val="00824D9B"/>
    <w:rPr>
      <w:rFonts w:asciiTheme="majorHAnsi" w:eastAsiaTheme="majorEastAsia" w:hAnsiTheme="majorHAnsi" w:cstheme="majorBidi"/>
      <w:b/>
      <w:i/>
      <w:noProof/>
      <w:color w:val="000000" w:themeColor="text1"/>
      <w:lang w:val="id-ID"/>
    </w:rPr>
  </w:style>
  <w:style w:type="paragraph" w:styleId="BalloonText">
    <w:name w:val="Balloon Text"/>
    <w:basedOn w:val="Normal"/>
    <w:link w:val="BalloonTextChar"/>
    <w:uiPriority w:val="99"/>
    <w:semiHidden/>
    <w:unhideWhenUsed/>
    <w:rsid w:val="00560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147"/>
    <w:rPr>
      <w:rFonts w:ascii="Tahoma" w:hAnsi="Tahoma" w:cs="Tahoma"/>
      <w:noProof/>
      <w:sz w:val="16"/>
      <w:szCs w:val="16"/>
      <w:lang w:val="id-ID"/>
    </w:rPr>
  </w:style>
  <w:style w:type="paragraph" w:styleId="ListParagraph">
    <w:name w:val="List Paragraph"/>
    <w:basedOn w:val="Normal"/>
    <w:uiPriority w:val="34"/>
    <w:qFormat/>
    <w:rsid w:val="00112F92"/>
    <w:pPr>
      <w:ind w:left="720"/>
      <w:contextualSpacing/>
    </w:pPr>
  </w:style>
  <w:style w:type="character" w:customStyle="1" w:styleId="Heading6Char">
    <w:name w:val="Heading 6 Char"/>
    <w:aliases w:val="Referensi Char"/>
    <w:basedOn w:val="DefaultParagraphFont"/>
    <w:link w:val="Heading6"/>
    <w:uiPriority w:val="9"/>
    <w:rsid w:val="00DD2892"/>
    <w:rPr>
      <w:rFonts w:asciiTheme="majorHAnsi" w:eastAsiaTheme="majorEastAsia" w:hAnsiTheme="majorHAnsi" w:cs="Arial"/>
      <w:iCs/>
      <w:noProof/>
      <w:color w:val="000000" w:themeColor="text1"/>
      <w:sz w:val="20"/>
      <w:lang w:val="id-ID"/>
    </w:rPr>
  </w:style>
  <w:style w:type="character" w:styleId="FollowedHyperlink">
    <w:name w:val="FollowedHyperlink"/>
    <w:basedOn w:val="DefaultParagraphFont"/>
    <w:uiPriority w:val="99"/>
    <w:semiHidden/>
    <w:unhideWhenUsed/>
    <w:rsid w:val="0024106F"/>
    <w:rPr>
      <w:color w:val="800080" w:themeColor="followedHyperlink"/>
      <w:u w:val="single"/>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E25E0A"/>
    <w:rPr>
      <w:color w:val="605E5C"/>
      <w:shd w:val="clear" w:color="auto" w:fill="E1DFDD"/>
    </w:rPr>
  </w:style>
  <w:style w:type="paragraph" w:styleId="Bibliography">
    <w:name w:val="Bibliography"/>
    <w:basedOn w:val="Normal"/>
    <w:next w:val="Normal"/>
    <w:uiPriority w:val="37"/>
    <w:unhideWhenUsed/>
    <w:rsid w:val="00E76AAB"/>
  </w:style>
  <w:style w:type="table" w:customStyle="1" w:styleId="4">
    <w:name w:val="4"/>
    <w:basedOn w:val="TableNormal"/>
    <w:rsid w:val="00471649"/>
    <w:pPr>
      <w:spacing w:line="240" w:lineRule="auto"/>
    </w:pPr>
    <w:tblPr>
      <w:tblStyleRowBandSize w:val="1"/>
      <w:tblStyleColBandSize w:val="1"/>
    </w:tblPr>
  </w:style>
  <w:style w:type="paragraph" w:styleId="FootnoteText">
    <w:name w:val="footnote text"/>
    <w:basedOn w:val="Normal"/>
    <w:link w:val="FootnoteTextChar"/>
    <w:uiPriority w:val="99"/>
    <w:rsid w:val="00C055AB"/>
    <w:pPr>
      <w:spacing w:line="240" w:lineRule="auto"/>
    </w:pPr>
    <w:rPr>
      <w:rFonts w:cs="SimSun"/>
      <w:noProof w:val="0"/>
      <w:kern w:val="2"/>
      <w:sz w:val="20"/>
      <w:szCs w:val="20"/>
      <w:lang w:val="en-ID"/>
      <w14:ligatures w14:val="standardContextual"/>
    </w:rPr>
  </w:style>
  <w:style w:type="character" w:customStyle="1" w:styleId="FootnoteTextChar">
    <w:name w:val="Footnote Text Char"/>
    <w:basedOn w:val="DefaultParagraphFont"/>
    <w:link w:val="FootnoteText"/>
    <w:uiPriority w:val="99"/>
    <w:rsid w:val="00C055AB"/>
    <w:rPr>
      <w:rFonts w:cs="SimSun"/>
      <w:kern w:val="2"/>
      <w:sz w:val="20"/>
      <w:szCs w:val="20"/>
      <w14:ligatures w14:val="standardContextual"/>
    </w:rPr>
  </w:style>
  <w:style w:type="character" w:styleId="FootnoteReference">
    <w:name w:val="footnote reference"/>
    <w:basedOn w:val="DefaultParagraphFont"/>
    <w:uiPriority w:val="99"/>
    <w:semiHidden/>
    <w:unhideWhenUsed/>
    <w:rsid w:val="008A36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782">
      <w:bodyDiv w:val="1"/>
      <w:marLeft w:val="0"/>
      <w:marRight w:val="0"/>
      <w:marTop w:val="0"/>
      <w:marBottom w:val="0"/>
      <w:divBdr>
        <w:top w:val="none" w:sz="0" w:space="0" w:color="auto"/>
        <w:left w:val="none" w:sz="0" w:space="0" w:color="auto"/>
        <w:bottom w:val="none" w:sz="0" w:space="0" w:color="auto"/>
        <w:right w:val="none" w:sz="0" w:space="0" w:color="auto"/>
      </w:divBdr>
    </w:div>
    <w:div w:id="35738867">
      <w:bodyDiv w:val="1"/>
      <w:marLeft w:val="0"/>
      <w:marRight w:val="0"/>
      <w:marTop w:val="0"/>
      <w:marBottom w:val="0"/>
      <w:divBdr>
        <w:top w:val="none" w:sz="0" w:space="0" w:color="auto"/>
        <w:left w:val="none" w:sz="0" w:space="0" w:color="auto"/>
        <w:bottom w:val="none" w:sz="0" w:space="0" w:color="auto"/>
        <w:right w:val="none" w:sz="0" w:space="0" w:color="auto"/>
      </w:divBdr>
    </w:div>
    <w:div w:id="69929243">
      <w:bodyDiv w:val="1"/>
      <w:marLeft w:val="0"/>
      <w:marRight w:val="0"/>
      <w:marTop w:val="0"/>
      <w:marBottom w:val="0"/>
      <w:divBdr>
        <w:top w:val="none" w:sz="0" w:space="0" w:color="auto"/>
        <w:left w:val="none" w:sz="0" w:space="0" w:color="auto"/>
        <w:bottom w:val="none" w:sz="0" w:space="0" w:color="auto"/>
        <w:right w:val="none" w:sz="0" w:space="0" w:color="auto"/>
      </w:divBdr>
    </w:div>
    <w:div w:id="104347273">
      <w:bodyDiv w:val="1"/>
      <w:marLeft w:val="0"/>
      <w:marRight w:val="0"/>
      <w:marTop w:val="0"/>
      <w:marBottom w:val="0"/>
      <w:divBdr>
        <w:top w:val="none" w:sz="0" w:space="0" w:color="auto"/>
        <w:left w:val="none" w:sz="0" w:space="0" w:color="auto"/>
        <w:bottom w:val="none" w:sz="0" w:space="0" w:color="auto"/>
        <w:right w:val="none" w:sz="0" w:space="0" w:color="auto"/>
      </w:divBdr>
    </w:div>
    <w:div w:id="146171956">
      <w:bodyDiv w:val="1"/>
      <w:marLeft w:val="0"/>
      <w:marRight w:val="0"/>
      <w:marTop w:val="0"/>
      <w:marBottom w:val="0"/>
      <w:divBdr>
        <w:top w:val="none" w:sz="0" w:space="0" w:color="auto"/>
        <w:left w:val="none" w:sz="0" w:space="0" w:color="auto"/>
        <w:bottom w:val="none" w:sz="0" w:space="0" w:color="auto"/>
        <w:right w:val="none" w:sz="0" w:space="0" w:color="auto"/>
      </w:divBdr>
    </w:div>
    <w:div w:id="149760028">
      <w:bodyDiv w:val="1"/>
      <w:marLeft w:val="0"/>
      <w:marRight w:val="0"/>
      <w:marTop w:val="0"/>
      <w:marBottom w:val="0"/>
      <w:divBdr>
        <w:top w:val="none" w:sz="0" w:space="0" w:color="auto"/>
        <w:left w:val="none" w:sz="0" w:space="0" w:color="auto"/>
        <w:bottom w:val="none" w:sz="0" w:space="0" w:color="auto"/>
        <w:right w:val="none" w:sz="0" w:space="0" w:color="auto"/>
      </w:divBdr>
    </w:div>
    <w:div w:id="164440862">
      <w:bodyDiv w:val="1"/>
      <w:marLeft w:val="0"/>
      <w:marRight w:val="0"/>
      <w:marTop w:val="0"/>
      <w:marBottom w:val="0"/>
      <w:divBdr>
        <w:top w:val="none" w:sz="0" w:space="0" w:color="auto"/>
        <w:left w:val="none" w:sz="0" w:space="0" w:color="auto"/>
        <w:bottom w:val="none" w:sz="0" w:space="0" w:color="auto"/>
        <w:right w:val="none" w:sz="0" w:space="0" w:color="auto"/>
      </w:divBdr>
    </w:div>
    <w:div w:id="174611572">
      <w:bodyDiv w:val="1"/>
      <w:marLeft w:val="0"/>
      <w:marRight w:val="0"/>
      <w:marTop w:val="0"/>
      <w:marBottom w:val="0"/>
      <w:divBdr>
        <w:top w:val="none" w:sz="0" w:space="0" w:color="auto"/>
        <w:left w:val="none" w:sz="0" w:space="0" w:color="auto"/>
        <w:bottom w:val="none" w:sz="0" w:space="0" w:color="auto"/>
        <w:right w:val="none" w:sz="0" w:space="0" w:color="auto"/>
      </w:divBdr>
    </w:div>
    <w:div w:id="410398179">
      <w:bodyDiv w:val="1"/>
      <w:marLeft w:val="0"/>
      <w:marRight w:val="0"/>
      <w:marTop w:val="0"/>
      <w:marBottom w:val="0"/>
      <w:divBdr>
        <w:top w:val="none" w:sz="0" w:space="0" w:color="auto"/>
        <w:left w:val="none" w:sz="0" w:space="0" w:color="auto"/>
        <w:bottom w:val="none" w:sz="0" w:space="0" w:color="auto"/>
        <w:right w:val="none" w:sz="0" w:space="0" w:color="auto"/>
      </w:divBdr>
    </w:div>
    <w:div w:id="439567714">
      <w:bodyDiv w:val="1"/>
      <w:marLeft w:val="0"/>
      <w:marRight w:val="0"/>
      <w:marTop w:val="0"/>
      <w:marBottom w:val="0"/>
      <w:divBdr>
        <w:top w:val="none" w:sz="0" w:space="0" w:color="auto"/>
        <w:left w:val="none" w:sz="0" w:space="0" w:color="auto"/>
        <w:bottom w:val="none" w:sz="0" w:space="0" w:color="auto"/>
        <w:right w:val="none" w:sz="0" w:space="0" w:color="auto"/>
      </w:divBdr>
    </w:div>
    <w:div w:id="581834873">
      <w:bodyDiv w:val="1"/>
      <w:marLeft w:val="0"/>
      <w:marRight w:val="0"/>
      <w:marTop w:val="0"/>
      <w:marBottom w:val="0"/>
      <w:divBdr>
        <w:top w:val="none" w:sz="0" w:space="0" w:color="auto"/>
        <w:left w:val="none" w:sz="0" w:space="0" w:color="auto"/>
        <w:bottom w:val="none" w:sz="0" w:space="0" w:color="auto"/>
        <w:right w:val="none" w:sz="0" w:space="0" w:color="auto"/>
      </w:divBdr>
    </w:div>
    <w:div w:id="767117708">
      <w:bodyDiv w:val="1"/>
      <w:marLeft w:val="0"/>
      <w:marRight w:val="0"/>
      <w:marTop w:val="0"/>
      <w:marBottom w:val="0"/>
      <w:divBdr>
        <w:top w:val="none" w:sz="0" w:space="0" w:color="auto"/>
        <w:left w:val="none" w:sz="0" w:space="0" w:color="auto"/>
        <w:bottom w:val="none" w:sz="0" w:space="0" w:color="auto"/>
        <w:right w:val="none" w:sz="0" w:space="0" w:color="auto"/>
      </w:divBdr>
    </w:div>
    <w:div w:id="826241595">
      <w:bodyDiv w:val="1"/>
      <w:marLeft w:val="0"/>
      <w:marRight w:val="0"/>
      <w:marTop w:val="0"/>
      <w:marBottom w:val="0"/>
      <w:divBdr>
        <w:top w:val="none" w:sz="0" w:space="0" w:color="auto"/>
        <w:left w:val="none" w:sz="0" w:space="0" w:color="auto"/>
        <w:bottom w:val="none" w:sz="0" w:space="0" w:color="auto"/>
        <w:right w:val="none" w:sz="0" w:space="0" w:color="auto"/>
      </w:divBdr>
    </w:div>
    <w:div w:id="923152829">
      <w:bodyDiv w:val="1"/>
      <w:marLeft w:val="0"/>
      <w:marRight w:val="0"/>
      <w:marTop w:val="0"/>
      <w:marBottom w:val="0"/>
      <w:divBdr>
        <w:top w:val="none" w:sz="0" w:space="0" w:color="auto"/>
        <w:left w:val="none" w:sz="0" w:space="0" w:color="auto"/>
        <w:bottom w:val="none" w:sz="0" w:space="0" w:color="auto"/>
        <w:right w:val="none" w:sz="0" w:space="0" w:color="auto"/>
      </w:divBdr>
    </w:div>
    <w:div w:id="964308200">
      <w:bodyDiv w:val="1"/>
      <w:marLeft w:val="0"/>
      <w:marRight w:val="0"/>
      <w:marTop w:val="0"/>
      <w:marBottom w:val="0"/>
      <w:divBdr>
        <w:top w:val="none" w:sz="0" w:space="0" w:color="auto"/>
        <w:left w:val="none" w:sz="0" w:space="0" w:color="auto"/>
        <w:bottom w:val="none" w:sz="0" w:space="0" w:color="auto"/>
        <w:right w:val="none" w:sz="0" w:space="0" w:color="auto"/>
      </w:divBdr>
      <w:divsChild>
        <w:div w:id="383334035">
          <w:marLeft w:val="0"/>
          <w:marRight w:val="0"/>
          <w:marTop w:val="0"/>
          <w:marBottom w:val="0"/>
          <w:divBdr>
            <w:top w:val="none" w:sz="0" w:space="0" w:color="auto"/>
            <w:left w:val="none" w:sz="0" w:space="0" w:color="auto"/>
            <w:bottom w:val="none" w:sz="0" w:space="0" w:color="auto"/>
            <w:right w:val="none" w:sz="0" w:space="0" w:color="auto"/>
          </w:divBdr>
          <w:divsChild>
            <w:div w:id="2043480832">
              <w:marLeft w:val="0"/>
              <w:marRight w:val="0"/>
              <w:marTop w:val="0"/>
              <w:marBottom w:val="0"/>
              <w:divBdr>
                <w:top w:val="none" w:sz="0" w:space="0" w:color="auto"/>
                <w:left w:val="none" w:sz="0" w:space="0" w:color="auto"/>
                <w:bottom w:val="none" w:sz="0" w:space="0" w:color="auto"/>
                <w:right w:val="none" w:sz="0" w:space="0" w:color="auto"/>
              </w:divBdr>
              <w:divsChild>
                <w:div w:id="1567495936">
                  <w:marLeft w:val="0"/>
                  <w:marRight w:val="0"/>
                  <w:marTop w:val="0"/>
                  <w:marBottom w:val="0"/>
                  <w:divBdr>
                    <w:top w:val="none" w:sz="0" w:space="0" w:color="auto"/>
                    <w:left w:val="none" w:sz="0" w:space="0" w:color="auto"/>
                    <w:bottom w:val="none" w:sz="0" w:space="0" w:color="auto"/>
                    <w:right w:val="none" w:sz="0" w:space="0" w:color="auto"/>
                  </w:divBdr>
                  <w:divsChild>
                    <w:div w:id="1548954186">
                      <w:marLeft w:val="0"/>
                      <w:marRight w:val="0"/>
                      <w:marTop w:val="0"/>
                      <w:marBottom w:val="0"/>
                      <w:divBdr>
                        <w:top w:val="none" w:sz="0" w:space="0" w:color="auto"/>
                        <w:left w:val="none" w:sz="0" w:space="0" w:color="auto"/>
                        <w:bottom w:val="none" w:sz="0" w:space="0" w:color="auto"/>
                        <w:right w:val="none" w:sz="0" w:space="0" w:color="auto"/>
                      </w:divBdr>
                      <w:divsChild>
                        <w:div w:id="1738674326">
                          <w:marLeft w:val="0"/>
                          <w:marRight w:val="0"/>
                          <w:marTop w:val="0"/>
                          <w:marBottom w:val="0"/>
                          <w:divBdr>
                            <w:top w:val="none" w:sz="0" w:space="0" w:color="auto"/>
                            <w:left w:val="none" w:sz="0" w:space="0" w:color="auto"/>
                            <w:bottom w:val="none" w:sz="0" w:space="0" w:color="auto"/>
                            <w:right w:val="none" w:sz="0" w:space="0" w:color="auto"/>
                          </w:divBdr>
                          <w:divsChild>
                            <w:div w:id="2014719495">
                              <w:marLeft w:val="0"/>
                              <w:marRight w:val="0"/>
                              <w:marTop w:val="0"/>
                              <w:marBottom w:val="0"/>
                              <w:divBdr>
                                <w:top w:val="none" w:sz="0" w:space="0" w:color="auto"/>
                                <w:left w:val="none" w:sz="0" w:space="0" w:color="auto"/>
                                <w:bottom w:val="none" w:sz="0" w:space="0" w:color="auto"/>
                                <w:right w:val="none" w:sz="0" w:space="0" w:color="auto"/>
                              </w:divBdr>
                              <w:divsChild>
                                <w:div w:id="1404714495">
                                  <w:marLeft w:val="0"/>
                                  <w:marRight w:val="0"/>
                                  <w:marTop w:val="0"/>
                                  <w:marBottom w:val="0"/>
                                  <w:divBdr>
                                    <w:top w:val="none" w:sz="0" w:space="0" w:color="auto"/>
                                    <w:left w:val="none" w:sz="0" w:space="0" w:color="auto"/>
                                    <w:bottom w:val="none" w:sz="0" w:space="0" w:color="auto"/>
                                    <w:right w:val="none" w:sz="0" w:space="0" w:color="auto"/>
                                  </w:divBdr>
                                  <w:divsChild>
                                    <w:div w:id="1302879220">
                                      <w:marLeft w:val="0"/>
                                      <w:marRight w:val="0"/>
                                      <w:marTop w:val="0"/>
                                      <w:marBottom w:val="0"/>
                                      <w:divBdr>
                                        <w:top w:val="none" w:sz="0" w:space="0" w:color="auto"/>
                                        <w:left w:val="none" w:sz="0" w:space="0" w:color="auto"/>
                                        <w:bottom w:val="none" w:sz="0" w:space="0" w:color="auto"/>
                                        <w:right w:val="none" w:sz="0" w:space="0" w:color="auto"/>
                                      </w:divBdr>
                                      <w:divsChild>
                                        <w:div w:id="1048453117">
                                          <w:marLeft w:val="0"/>
                                          <w:marRight w:val="0"/>
                                          <w:marTop w:val="0"/>
                                          <w:marBottom w:val="0"/>
                                          <w:divBdr>
                                            <w:top w:val="none" w:sz="0" w:space="0" w:color="auto"/>
                                            <w:left w:val="none" w:sz="0" w:space="0" w:color="auto"/>
                                            <w:bottom w:val="none" w:sz="0" w:space="0" w:color="auto"/>
                                            <w:right w:val="none" w:sz="0" w:space="0" w:color="auto"/>
                                          </w:divBdr>
                                          <w:divsChild>
                                            <w:div w:id="16860186">
                                              <w:marLeft w:val="0"/>
                                              <w:marRight w:val="0"/>
                                              <w:marTop w:val="0"/>
                                              <w:marBottom w:val="0"/>
                                              <w:divBdr>
                                                <w:top w:val="none" w:sz="0" w:space="0" w:color="auto"/>
                                                <w:left w:val="none" w:sz="0" w:space="0" w:color="auto"/>
                                                <w:bottom w:val="none" w:sz="0" w:space="0" w:color="auto"/>
                                                <w:right w:val="none" w:sz="0" w:space="0" w:color="auto"/>
                                              </w:divBdr>
                                              <w:divsChild>
                                                <w:div w:id="639069171">
                                                  <w:marLeft w:val="0"/>
                                                  <w:marRight w:val="0"/>
                                                  <w:marTop w:val="0"/>
                                                  <w:marBottom w:val="0"/>
                                                  <w:divBdr>
                                                    <w:top w:val="none" w:sz="0" w:space="0" w:color="auto"/>
                                                    <w:left w:val="none" w:sz="0" w:space="0" w:color="auto"/>
                                                    <w:bottom w:val="none" w:sz="0" w:space="0" w:color="auto"/>
                                                    <w:right w:val="none" w:sz="0" w:space="0" w:color="auto"/>
                                                  </w:divBdr>
                                                  <w:divsChild>
                                                    <w:div w:id="494686451">
                                                      <w:marLeft w:val="0"/>
                                                      <w:marRight w:val="0"/>
                                                      <w:marTop w:val="0"/>
                                                      <w:marBottom w:val="0"/>
                                                      <w:divBdr>
                                                        <w:top w:val="none" w:sz="0" w:space="0" w:color="auto"/>
                                                        <w:left w:val="none" w:sz="0" w:space="0" w:color="auto"/>
                                                        <w:bottom w:val="none" w:sz="0" w:space="0" w:color="auto"/>
                                                        <w:right w:val="none" w:sz="0" w:space="0" w:color="auto"/>
                                                      </w:divBdr>
                                                      <w:divsChild>
                                                        <w:div w:id="364644093">
                                                          <w:marLeft w:val="0"/>
                                                          <w:marRight w:val="0"/>
                                                          <w:marTop w:val="0"/>
                                                          <w:marBottom w:val="0"/>
                                                          <w:divBdr>
                                                            <w:top w:val="none" w:sz="0" w:space="0" w:color="auto"/>
                                                            <w:left w:val="none" w:sz="0" w:space="0" w:color="auto"/>
                                                            <w:bottom w:val="none" w:sz="0" w:space="0" w:color="auto"/>
                                                            <w:right w:val="none" w:sz="0" w:space="0" w:color="auto"/>
                                                          </w:divBdr>
                                                          <w:divsChild>
                                                            <w:div w:id="842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5722276">
      <w:bodyDiv w:val="1"/>
      <w:marLeft w:val="0"/>
      <w:marRight w:val="0"/>
      <w:marTop w:val="0"/>
      <w:marBottom w:val="0"/>
      <w:divBdr>
        <w:top w:val="none" w:sz="0" w:space="0" w:color="auto"/>
        <w:left w:val="none" w:sz="0" w:space="0" w:color="auto"/>
        <w:bottom w:val="none" w:sz="0" w:space="0" w:color="auto"/>
        <w:right w:val="none" w:sz="0" w:space="0" w:color="auto"/>
      </w:divBdr>
    </w:div>
    <w:div w:id="1253514767">
      <w:bodyDiv w:val="1"/>
      <w:marLeft w:val="0"/>
      <w:marRight w:val="0"/>
      <w:marTop w:val="0"/>
      <w:marBottom w:val="0"/>
      <w:divBdr>
        <w:top w:val="none" w:sz="0" w:space="0" w:color="auto"/>
        <w:left w:val="none" w:sz="0" w:space="0" w:color="auto"/>
        <w:bottom w:val="none" w:sz="0" w:space="0" w:color="auto"/>
        <w:right w:val="none" w:sz="0" w:space="0" w:color="auto"/>
      </w:divBdr>
    </w:div>
    <w:div w:id="1284314283">
      <w:bodyDiv w:val="1"/>
      <w:marLeft w:val="0"/>
      <w:marRight w:val="0"/>
      <w:marTop w:val="0"/>
      <w:marBottom w:val="0"/>
      <w:divBdr>
        <w:top w:val="none" w:sz="0" w:space="0" w:color="auto"/>
        <w:left w:val="none" w:sz="0" w:space="0" w:color="auto"/>
        <w:bottom w:val="none" w:sz="0" w:space="0" w:color="auto"/>
        <w:right w:val="none" w:sz="0" w:space="0" w:color="auto"/>
      </w:divBdr>
    </w:div>
    <w:div w:id="1554384942">
      <w:bodyDiv w:val="1"/>
      <w:marLeft w:val="0"/>
      <w:marRight w:val="0"/>
      <w:marTop w:val="0"/>
      <w:marBottom w:val="0"/>
      <w:divBdr>
        <w:top w:val="none" w:sz="0" w:space="0" w:color="auto"/>
        <w:left w:val="none" w:sz="0" w:space="0" w:color="auto"/>
        <w:bottom w:val="none" w:sz="0" w:space="0" w:color="auto"/>
        <w:right w:val="none" w:sz="0" w:space="0" w:color="auto"/>
      </w:divBdr>
    </w:div>
    <w:div w:id="1555190913">
      <w:bodyDiv w:val="1"/>
      <w:marLeft w:val="0"/>
      <w:marRight w:val="0"/>
      <w:marTop w:val="0"/>
      <w:marBottom w:val="0"/>
      <w:divBdr>
        <w:top w:val="none" w:sz="0" w:space="0" w:color="auto"/>
        <w:left w:val="none" w:sz="0" w:space="0" w:color="auto"/>
        <w:bottom w:val="none" w:sz="0" w:space="0" w:color="auto"/>
        <w:right w:val="none" w:sz="0" w:space="0" w:color="auto"/>
      </w:divBdr>
    </w:div>
    <w:div w:id="1567177948">
      <w:bodyDiv w:val="1"/>
      <w:marLeft w:val="0"/>
      <w:marRight w:val="0"/>
      <w:marTop w:val="0"/>
      <w:marBottom w:val="0"/>
      <w:divBdr>
        <w:top w:val="none" w:sz="0" w:space="0" w:color="auto"/>
        <w:left w:val="none" w:sz="0" w:space="0" w:color="auto"/>
        <w:bottom w:val="none" w:sz="0" w:space="0" w:color="auto"/>
        <w:right w:val="none" w:sz="0" w:space="0" w:color="auto"/>
      </w:divBdr>
    </w:div>
    <w:div w:id="1590846990">
      <w:bodyDiv w:val="1"/>
      <w:marLeft w:val="0"/>
      <w:marRight w:val="0"/>
      <w:marTop w:val="0"/>
      <w:marBottom w:val="0"/>
      <w:divBdr>
        <w:top w:val="none" w:sz="0" w:space="0" w:color="auto"/>
        <w:left w:val="none" w:sz="0" w:space="0" w:color="auto"/>
        <w:bottom w:val="none" w:sz="0" w:space="0" w:color="auto"/>
        <w:right w:val="none" w:sz="0" w:space="0" w:color="auto"/>
      </w:divBdr>
    </w:div>
    <w:div w:id="1654677429">
      <w:bodyDiv w:val="1"/>
      <w:marLeft w:val="0"/>
      <w:marRight w:val="0"/>
      <w:marTop w:val="0"/>
      <w:marBottom w:val="0"/>
      <w:divBdr>
        <w:top w:val="none" w:sz="0" w:space="0" w:color="auto"/>
        <w:left w:val="none" w:sz="0" w:space="0" w:color="auto"/>
        <w:bottom w:val="none" w:sz="0" w:space="0" w:color="auto"/>
        <w:right w:val="none" w:sz="0" w:space="0" w:color="auto"/>
      </w:divBdr>
    </w:div>
    <w:div w:id="1746414550">
      <w:bodyDiv w:val="1"/>
      <w:marLeft w:val="0"/>
      <w:marRight w:val="0"/>
      <w:marTop w:val="0"/>
      <w:marBottom w:val="0"/>
      <w:divBdr>
        <w:top w:val="none" w:sz="0" w:space="0" w:color="auto"/>
        <w:left w:val="none" w:sz="0" w:space="0" w:color="auto"/>
        <w:bottom w:val="none" w:sz="0" w:space="0" w:color="auto"/>
        <w:right w:val="none" w:sz="0" w:space="0" w:color="auto"/>
      </w:divBdr>
    </w:div>
    <w:div w:id="1888636562">
      <w:bodyDiv w:val="1"/>
      <w:marLeft w:val="0"/>
      <w:marRight w:val="0"/>
      <w:marTop w:val="0"/>
      <w:marBottom w:val="0"/>
      <w:divBdr>
        <w:top w:val="none" w:sz="0" w:space="0" w:color="auto"/>
        <w:left w:val="none" w:sz="0" w:space="0" w:color="auto"/>
        <w:bottom w:val="none" w:sz="0" w:space="0" w:color="auto"/>
        <w:right w:val="none" w:sz="0" w:space="0" w:color="auto"/>
      </w:divBdr>
    </w:div>
    <w:div w:id="2043897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nisusi143@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Mad20</b:Tag>
    <b:SourceType>JournalArticle</b:SourceType>
    <b:Guid>{A4DE5E1F-8B88-48B8-B6EE-D33CED052AB5}</b:Guid>
    <b:Author>
      <b:Author>
        <b:NameList>
          <b:Person>
            <b:Last>Made</b:Last>
            <b:First>Artana</b:First>
          </b:Person>
        </b:NameList>
      </b:Author>
    </b:Author>
    <b:Title>Status Kewarganegaraan Anak dibawah Umur Pada Perkawinan Campuran</b:Title>
    <b:JournalName>Universitas Ngurah Rai</b:JournalName>
    <b:Year>2020</b:Year>
    <b:RefOrder>2</b:RefOrder>
  </b:Source>
  <b:Source>
    <b:Tag>NNa21</b:Tag>
    <b:SourceType>JournalArticle</b:SourceType>
    <b:Guid>{C21622DC-BCF3-42B6-BF6C-C4785184D08F}</b:Guid>
    <b:Author>
      <b:Author>
        <b:NameList>
          <b:Person>
            <b:Last>N. Nawawi</b:Last>
            <b:First>dkk</b:First>
          </b:Person>
        </b:NameList>
      </b:Author>
    </b:Author>
    <b:Title>Perkawinan Campuran</b:Title>
    <b:JournalName>Balai Diklat Keagamaan Palembang</b:JournalName>
    <b:Year>2021</b:Year>
    <b:Pages>1-14</b:Pages>
    <b:RefOrder>3</b:RefOrder>
  </b:Source>
  <b:Source>
    <b:Tag>Dew22</b:Tag>
    <b:SourceType>JournalArticle</b:SourceType>
    <b:Guid>{AD264FD7-4C08-4697-8D19-893259A85512}</b:Guid>
    <b:Author>
      <b:Author>
        <b:NameList>
          <b:Person>
            <b:Last>Dewi Sandra Atika</b:Last>
            <b:First>Dkk</b:First>
          </b:Person>
        </b:NameList>
      </b:Author>
    </b:Author>
    <b:Title>Analisis Perkawinan Campuran Dan Akibat Hukumnya</b:Title>
    <b:JournalName>Juripol </b:JournalName>
    <b:Year>2022</b:Year>
    <b:Pages>179-189</b:Pages>
    <b:RefOrder>4</b:RefOrder>
  </b:Source>
  <b:Source>
    <b:Tag>Tja21</b:Tag>
    <b:SourceType>JournalArticle</b:SourceType>
    <b:Guid>{936DA214-2486-47BC-89A6-375B785F264A}</b:Guid>
    <b:Author>
      <b:Author>
        <b:NameList>
          <b:Person>
            <b:Last>Joejoen</b:Last>
            <b:First>Tjahjani</b:First>
          </b:Person>
        </b:NameList>
      </b:Author>
    </b:Author>
    <b:Title>Kepastian Hukum Terhadap Anak Hasil Dari Perkawinan Campuran Menurut Undang-Undang Nomor 12 Tahun 2006 Tentang Kewarganegaraan Republik Indonesia</b:Title>
    <b:JournalName>Jurnal Independent</b:JournalName>
    <b:Year>2021</b:Year>
    <b:Pages>22-32</b:Pages>
    <b:RefOrder>5</b:RefOrder>
  </b:Source>
  <b:Source>
    <b:Tag>Rat18</b:Tag>
    <b:SourceType>InternetSite</b:SourceType>
    <b:Guid>{B81E1DA2-1CCA-43A0-B7C8-22F3FB2CA113}</b:Guid>
    <b:Title>Perkawinan Campuran Antara WNI dan WNA di Indonesia</b:Title>
    <b:Year>2018</b:Year>
    <b:Author>
      <b:Author>
        <b:NameList>
          <b:Person>
            <b:Last>Erna</b:Last>
            <b:First>Ratningsih</b:First>
          </b:Person>
        </b:NameList>
      </b:Author>
    </b:Author>
    <b:InternetSiteTitle>BINUS LAW</b:InternetSiteTitle>
    <b:Month>July</b:Month>
    <b:Day>9</b:Day>
    <b:URL>https://business-law.binus.ac.id/2018/07/09/perkawinan-campuran-antara-wni-dan-wna-di-indonesia/</b:URL>
    <b:RefOrder>6</b:RefOrder>
  </b:Source>
  <b:Source>
    <b:Tag>Sas20</b:Tag>
    <b:SourceType>JournalArticle</b:SourceType>
    <b:Guid>{58CAFA19-4AAD-4CB9-B949-6085A4D85C4E}</b:Guid>
    <b:Title>Perkawinan Campuran dan Akibat Hukumnya</b:Title>
    <b:Year>2020</b:Year>
    <b:Author>
      <b:Author>
        <b:NameList>
          <b:Person>
            <b:Last>Sasmiar</b:Last>
          </b:Person>
        </b:NameList>
      </b:Author>
    </b:Author>
    <b:JournalName>Jurnal Ilmu Hukum</b:JournalName>
    <b:Pages>40-49</b:Pages>
    <b:RefOrder>7</b:RefOrder>
  </b:Source>
  <b:Source>
    <b:Tag>Har06</b:Tag>
    <b:SourceType>Book</b:SourceType>
    <b:Guid>{43856CAA-646E-4F7E-AEB0-90F8869E6343}</b:Guid>
    <b:Author>
      <b:Author>
        <b:NameList>
          <b:Person>
            <b:Last>Harpen</b:Last>
            <b:First>Jehani</b:First>
            <b:Middle>Libertus dan Atanasius</b:Middle>
          </b:Person>
        </b:NameList>
      </b:Author>
    </b:Author>
    <b:Title>Hukum Kewarganegaraan</b:Title>
    <b:JournalName>Citra Adytia Bakti</b:JournalName>
    <b:Year>2006</b:Year>
    <b:City>Bandung</b:City>
    <b:Publisher>Citra Adytia Bakti</b:Publishe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xx+vRuQzIKmI+TNpwHEOHXuHxFQ==">AMUW2mWsKtUX4mAeUx90yG8TBVKheu6NwHU5LNeazMYXNofLWzd7/X205PiZ8Z4aIC3Leq//CxjDypR0SwP4p3ZTbzInZLL0tVGSiS+2t8BAEGmQugxtHyI=</go:docsCustomData>
</go:gDocsCustomXmlDataStorage>
</file>

<file path=customXml/itemProps1.xml><?xml version="1.0" encoding="utf-8"?>
<ds:datastoreItem xmlns:ds="http://schemas.openxmlformats.org/officeDocument/2006/customXml" ds:itemID="{15067F2E-EEF5-40DD-AC88-EA232B18EA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5</cp:revision>
  <cp:lastPrinted>2023-11-24T06:47:00Z</cp:lastPrinted>
  <dcterms:created xsi:type="dcterms:W3CDTF">2023-11-24T07:30:00Z</dcterms:created>
  <dcterms:modified xsi:type="dcterms:W3CDTF">2023-11-24T08:17:00Z</dcterms:modified>
</cp:coreProperties>
</file>